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69" w:rsidRDefault="00703D69" w:rsidP="00703D69">
      <w:pPr>
        <w:spacing w:after="0" w:line="465" w:lineRule="atLeast"/>
        <w:jc w:val="center"/>
        <w:outlineLvl w:val="1"/>
        <w:rPr>
          <w:rFonts w:ascii="Arial" w:eastAsia="Times New Roman" w:hAnsi="Arial" w:cs="Arial"/>
          <w:b/>
          <w:bCs/>
          <w:color w:val="CE0000"/>
          <w:sz w:val="42"/>
          <w:szCs w:val="42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CE0000"/>
          <w:sz w:val="42"/>
          <w:szCs w:val="42"/>
          <w:lang w:eastAsia="ru-RU"/>
        </w:rPr>
        <w:t>Меры ответственности, применяемые к гражданам, совершившим домашнее насилие:</w:t>
      </w:r>
    </w:p>
    <w:p w:rsidR="00703D69" w:rsidRPr="00647649" w:rsidRDefault="00703D69" w:rsidP="00703D69">
      <w:pPr>
        <w:spacing w:after="0" w:line="465" w:lineRule="atLeast"/>
        <w:jc w:val="center"/>
        <w:outlineLvl w:val="1"/>
        <w:rPr>
          <w:rFonts w:ascii="Arial" w:eastAsia="Times New Roman" w:hAnsi="Arial" w:cs="Arial"/>
          <w:b/>
          <w:bCs/>
          <w:color w:val="CE0000"/>
          <w:sz w:val="42"/>
          <w:szCs w:val="42"/>
          <w:lang w:eastAsia="ru-RU"/>
        </w:rPr>
      </w:pP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ЗАЩИТНОЕ ПРЕДПИСАНИЕ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Защитное </w:t>
      </w:r>
      <w:hyperlink r:id="rId5" w:history="1">
        <w:r w:rsidRPr="00647649">
          <w:rPr>
            <w:rFonts w:ascii="Arial" w:eastAsia="Times New Roman" w:hAnsi="Arial" w:cs="Arial"/>
            <w:b/>
            <w:bCs/>
            <w:color w:val="2D466D"/>
            <w:sz w:val="24"/>
            <w:szCs w:val="24"/>
            <w:lang w:eastAsia="ru-RU"/>
          </w:rPr>
          <w:t>предписание</w:t>
        </w:r>
      </w:hyperlink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– установление гражданину, совершившему домашнее насилие, временных запретов на совершение определенных действий и обязанности для защиты жизни и здоровья пострадавшего от домашнего насилия.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Защитное предписание может применяться к гражданину, совершившему домашнее насилие, и в отношении, которого в связи с этим:</w:t>
      </w:r>
    </w:p>
    <w:p w:rsidR="00703D69" w:rsidRPr="00647649" w:rsidRDefault="00703D69" w:rsidP="00703D6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осуществляется подготовка к рассмотрению дела об административном </w:t>
      </w:r>
      <w:proofErr w:type="gram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правонарушении</w:t>
      </w:r>
      <w:proofErr w:type="gram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об умышленном причинении телесного повреждения и иных насильственных действиях либо о нарушении защитного предписания;</w:t>
      </w:r>
    </w:p>
    <w:p w:rsidR="00703D69" w:rsidRPr="00647649" w:rsidRDefault="00703D69" w:rsidP="00703D6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проводится проверка в соответствии с требованиями уголовно-процессуального законодательства либо возбуждено уголовное дело о преступлении против жизни и здоровья, половой неприкосновенности или половой свободы либо личной свободы, чести и достоинства.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Защитным предписанием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гражданину, в отношении которого оно применено,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может быть запрещено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:</w:t>
      </w:r>
    </w:p>
    <w:p w:rsidR="00703D69" w:rsidRPr="00647649" w:rsidRDefault="00703D69" w:rsidP="00703D6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предпринимать попытки выяснять место пребывания пострадавшего от домашнего насилия, если этот пострадавший находится в месте, неизвестном гражданину, совершившему домашнее насилие;</w:t>
      </w:r>
    </w:p>
    <w:p w:rsidR="00703D69" w:rsidRPr="00647649" w:rsidRDefault="00703D69" w:rsidP="00703D6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посещать места нахождения пострадавшего от домашнего насилия, если этот пострадавший временно находится вне совместного места жительства или места пребывания;</w:t>
      </w:r>
    </w:p>
    <w:p w:rsidR="00703D69" w:rsidRPr="00647649" w:rsidRDefault="00703D69" w:rsidP="00703D6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общаться с пострадавшим от домашнего насилия, в том числе по телефону, с использованием глобальной компьютерной сети Интернет;</w:t>
      </w:r>
    </w:p>
    <w:p w:rsidR="00703D69" w:rsidRPr="00647649" w:rsidRDefault="00703D69" w:rsidP="00703D6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распоряжаться общей совместной с пострадавшим от домашнего насилия собственностью.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Защитным предписанием гражданину, в отношении которого оно применено,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может быть установлена обязанность временно покинуть общее с пострадавшим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 от домашнего насилия жилое помещение. 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от домашнего насилия с учетом оценки вероятности продолжения либо повторного совершения домашнего насилия, наступления тяжких либо особо тяжких последствий его совершения, в том числе смерти пострадавшего от домашнего насилия.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ВОЗБУЖДЕНИЕ УГОЛОВНОГО ДЕЛА ПО СТ.153 УК Республики Беларусь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В случае умышленного причинения легкого телесного повреждения, то есть повреждения, повлекшего за собой кратковременное расстройство здоровья либо 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>незначительную стойкую утрату трудоспособности, Вы вправе обратиться в суд для возбуждения уголовного дела частного обвинения.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ВОЗБУЖДЕНИЕ УГОЛОВНОГО ДЕЛА ПО СТ.154 УК Республики Беларусь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В случае умышленного причинения продолжительной боли или мучений способами, вызывающими особые физические и психические страдания потерпевшего, либо систематического нанесения побоев, необходимо обратиться в органы внутренних дел.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 ВОЗБУЖДЕНИЕ УГОЛОВНОГО ДЕЛА ПО СТ.186 УК Республики Беларусь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В случае угрозы убийством, причинением тяжких телесных повреждений или уничтожением имущества </w:t>
      </w:r>
      <w:proofErr w:type="spell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общеопасным</w:t>
      </w:r>
      <w:proofErr w:type="spell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способом, если имелись основания опасаться её осуществления необходимо обратиться в органы внутренних дел.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НАПРАВЛЕНИЕ В ЛЕЧЕБНО-ТРУДОВОЙ ПРОФИЛАКТОРИЙ (далее – ЛТП)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В ЛТП могут направляться:</w:t>
      </w:r>
    </w:p>
    <w:p w:rsidR="00703D69" w:rsidRPr="00647649" w:rsidRDefault="00703D69" w:rsidP="00703D6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граждане,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больные хроническим алкоголизмом, наркоманией или токсикоманией</w:t>
      </w:r>
      <w:r>
        <w:rPr>
          <w:rFonts w:ascii="Arial" w:eastAsia="Times New Roman" w:hAnsi="Arial" w:cs="Arial"/>
          <w:color w:val="2D466D"/>
          <w:sz w:val="24"/>
          <w:szCs w:val="24"/>
          <w:lang w:eastAsia="ru-RU"/>
        </w:rPr>
        <w:t>, которые в течение года два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и более раза привлекались к административной ответственности за совершение административных правонарушений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были предупреждены о возможности направления в ЛТП и в течение года после данного предупреждения привлекались к административной</w:t>
      </w:r>
      <w:proofErr w:type="gram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703D69" w:rsidRPr="00647649" w:rsidRDefault="00703D69" w:rsidP="00703D6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граждане,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обязанные возмещать расходы, затраченные государством на содержание детей, находящихся на государственном обеспечении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, которые дважды в течение года нарушили трудовую дисциплину по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веществ, в связи с этим были предупреждены о возможности направления в ЛТП и в течение года после данного предупреждения нарушили трудовую дисциплину по</w:t>
      </w:r>
      <w:proofErr w:type="gram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веществ;</w:t>
      </w:r>
    </w:p>
    <w:p w:rsidR="00703D69" w:rsidRPr="00647649" w:rsidRDefault="00703D69" w:rsidP="00703D6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трудоспособные неработающие граждане, ведущие асоциальный образ жизни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, которые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в отношении которых постоянно действующей комиссией по координации работы  по</w:t>
      </w:r>
      <w:proofErr w:type="gram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содействию занятости населения, созданной </w:t>
      </w:r>
      <w:proofErr w:type="spell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райгорисполкомом</w:t>
      </w:r>
      <w:proofErr w:type="spellEnd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 (местной администрацией), приняты решения о необходимости направления в ЛТП и которым по результатам медицинского 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lastRenderedPageBreak/>
        <w:t>освидетельствования установлены диагнозы хронический алкоголизм, наркомания или токсикомания.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 ОГРАНИЧЕНИЕ В ДЕЕСПОСОБНОСТИ</w:t>
      </w:r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Ограничение в дееспособности является основанием для установления над гражданином попечительства.  </w:t>
      </w:r>
      <w:proofErr w:type="gram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В силу ограничения в дееспособности гражданин без согласия попечителя не в праве, в частности, продавать, дарить, обменивать, покупать имущество, совершать другие сделки по распоряжению имуществом, за исключением мелких бытовых,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а также сам получать заработную плату, пенсию 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и другие виды доходов (авторский гонорар, вознаграждение за изобретения, суммы, причитающиеся за выполнение работ по договору подряда, всякого рода пособия и т.п.).</w:t>
      </w:r>
      <w:proofErr w:type="gramEnd"/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Обязательные условия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 xml:space="preserve">: совместное проживание и ведение общего хозяйства с членом семьи; наличие у члена семьи официального заработка, пенсии; </w:t>
      </w:r>
      <w:proofErr w:type="gramStart"/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член семьи не участвует в содержании других членов семьи, нуждающихся в помощи, несении расходов по обеспечению соответствующих бытовых условий, в оплате коммунальных услуг, а также затрат на ведение домашнего хозяйства, содержании дома (квартиры) в надлежащем санитарном состоянии и т.п. вследствие злоупотребления алкогольными напитками, наркотическими средствами либо психотропными веществами, их аналогами.</w:t>
      </w:r>
      <w:proofErr w:type="gramEnd"/>
    </w:p>
    <w:p w:rsidR="00703D69" w:rsidRPr="00647649" w:rsidRDefault="00703D69" w:rsidP="00703D69">
      <w:pPr>
        <w:spacing w:after="225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 По вопросам применения защитного предписания, направления в лечебно-трудовой профилакторий, ограничения в дееспособности</w:t>
      </w:r>
      <w:r w:rsidRPr="00647649">
        <w:rPr>
          <w:rFonts w:ascii="Arial" w:eastAsia="Times New Roman" w:hAnsi="Arial" w:cs="Arial"/>
          <w:color w:val="2D466D"/>
          <w:sz w:val="24"/>
          <w:szCs w:val="24"/>
          <w:lang w:eastAsia="ru-RU"/>
        </w:rPr>
        <w:t>, </w:t>
      </w:r>
      <w:r w:rsidRPr="00647649">
        <w:rPr>
          <w:rFonts w:ascii="Arial" w:eastAsia="Times New Roman" w:hAnsi="Arial" w:cs="Arial"/>
          <w:b/>
          <w:bCs/>
          <w:color w:val="2D466D"/>
          <w:sz w:val="24"/>
          <w:szCs w:val="24"/>
          <w:lang w:eastAsia="ru-RU"/>
        </w:rPr>
        <w:t>возбуждения уголовных дел превентивной направленности, граждане вправе обратиться в территориальные органы внутренних дел, где им будет оказана помощь в подготовке необходимых документов.</w:t>
      </w:r>
    </w:p>
    <w:p w:rsidR="00C3451E" w:rsidRDefault="00C3451E"/>
    <w:sectPr w:rsidR="00C3451E" w:rsidSect="00DB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5509"/>
    <w:multiLevelType w:val="multilevel"/>
    <w:tmpl w:val="1362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E54D2D"/>
    <w:multiLevelType w:val="multilevel"/>
    <w:tmpl w:val="0D3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A22042"/>
    <w:multiLevelType w:val="multilevel"/>
    <w:tmpl w:val="88C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D69"/>
    <w:rsid w:val="00703D69"/>
    <w:rsid w:val="00C3451E"/>
    <w:rsid w:val="00F5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34E2A94C223FC25AFAC7CDB86755C470B25589E83D03C961B87C4B6C95F4F0800EC74D01A97EDAC38B8A2342EB290A1128125596CBEDEEC21A13A3x9U4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2024-03-21T13:40:00Z</dcterms:created>
  <dcterms:modified xsi:type="dcterms:W3CDTF">2024-03-21T13:56:00Z</dcterms:modified>
</cp:coreProperties>
</file>