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38" w:rsidRPr="00BE4838" w:rsidRDefault="00BE4838" w:rsidP="00BE48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8"/>
          <w:kern w:val="36"/>
          <w:sz w:val="36"/>
          <w:szCs w:val="36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88"/>
          <w:kern w:val="36"/>
          <w:sz w:val="36"/>
          <w:szCs w:val="36"/>
          <w:lang w:eastAsia="ru-RU"/>
        </w:rPr>
        <w:t>Разъяснение по применению </w:t>
      </w:r>
      <w:hyperlink r:id="rId4" w:anchor="a1" w:tooltip="+" w:history="1">
        <w:r w:rsidRPr="00BE4838">
          <w:rPr>
            <w:rFonts w:ascii="Times New Roman" w:eastAsia="Times New Roman" w:hAnsi="Times New Roman" w:cs="Times New Roman"/>
            <w:b/>
            <w:bCs/>
            <w:color w:val="0000FF"/>
            <w:kern w:val="36"/>
            <w:sz w:val="48"/>
            <w:szCs w:val="48"/>
            <w:u w:val="single"/>
            <w:lang w:eastAsia="ru-RU"/>
          </w:rPr>
          <w:t>Декрета</w:t>
        </w:r>
      </w:hyperlink>
      <w:r w:rsidRPr="00BE4838">
        <w:rPr>
          <w:rFonts w:ascii="Times New Roman" w:eastAsia="Times New Roman" w:hAnsi="Times New Roman" w:cs="Times New Roman"/>
          <w:b/>
          <w:bCs/>
          <w:color w:val="000088"/>
          <w:kern w:val="36"/>
          <w:sz w:val="36"/>
          <w:szCs w:val="36"/>
          <w:lang w:eastAsia="ru-RU"/>
        </w:rPr>
        <w:t> Президента Республики Беларусь от 12 октября 2021 г. № 6 «Об изменении Декрета Президента Республики Беларусь»</w:t>
      </w:r>
    </w:p>
    <w:p w:rsidR="00BE4838" w:rsidRPr="00BE4838" w:rsidRDefault="00BE4838" w:rsidP="00BE4838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148080" cy="1148080"/>
            <wp:effectExtent l="19050" t="0" r="0" b="0"/>
            <wp:docPr id="1" name="Рисунок 1" descr="Интернет-ресу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тернет-ресур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838" w:rsidRPr="00BE4838" w:rsidRDefault="00BE4838" w:rsidP="00BE4838">
      <w:pPr>
        <w:shd w:val="clear" w:color="auto" w:fill="F4F4F4"/>
        <w:spacing w:after="0" w:line="240" w:lineRule="auto"/>
        <w:ind w:left="2679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материалам </w:t>
      </w:r>
      <w:hyperlink r:id="rId6" w:tgtFrame="_blank" w:tooltip="Ссылки на внешние интернет-ресурсы актуальны на дату написания материала" w:history="1">
        <w:r w:rsidRPr="00BE4838">
          <w:rPr>
            <w:rFonts w:ascii="Arial" w:eastAsia="Times New Roman" w:hAnsi="Arial" w:cs="Arial"/>
            <w:color w:val="0000FF"/>
            <w:sz w:val="20"/>
            <w:u w:val="single"/>
            <w:lang w:eastAsia="ru-RU"/>
          </w:rPr>
          <w:t>сайта</w:t>
        </w:r>
      </w:hyperlink>
      <w:r w:rsidRPr="00BE483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Минтруда и соцзащиты</w:t>
      </w:r>
    </w:p>
    <w:p w:rsidR="00BE4838" w:rsidRPr="00BE4838" w:rsidRDefault="00BE4838" w:rsidP="00BE4838">
      <w:pPr>
        <w:shd w:val="clear" w:color="auto" w:fill="F4F4F4"/>
        <w:spacing w:line="240" w:lineRule="auto"/>
        <w:ind w:right="335" w:firstLine="567"/>
        <w:jc w:val="right"/>
        <w:rPr>
          <w:rFonts w:ascii="Arial" w:eastAsia="Times New Roman" w:hAnsi="Arial" w:cs="Arial"/>
          <w:color w:val="666666"/>
          <w:sz w:val="20"/>
          <w:szCs w:val="20"/>
          <w:lang w:eastAsia="ru-RU"/>
        </w:rPr>
      </w:pPr>
      <w:r w:rsidRPr="00BE4838">
        <w:rPr>
          <w:rFonts w:ascii="Arial" w:eastAsia="Times New Roman" w:hAnsi="Arial" w:cs="Arial"/>
          <w:color w:val="666666"/>
          <w:sz w:val="20"/>
          <w:szCs w:val="20"/>
          <w:lang w:eastAsia="ru-RU"/>
        </w:rPr>
        <w:t>30.11.2021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7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Президента Республики Беларусь от 12 октября 2021 г. № 6 «Об изменении Декрета Президента Республики Беларусь» (далее - Декрет № 6) предусматривает внесение изменений в </w:t>
      </w:r>
      <w:hyperlink r:id="rId8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Президента Республики Беларусь от 15 декабря 2014 г. № 5 «Об усилении требований к руководящим кадрам и работникам организаций» (далее - Декрет № 5).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9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6 принят в целях повышения кадрового потенциала государственных органов и организаций, а также реализации изменений, внесенных в Трудовой </w:t>
      </w:r>
      <w:hyperlink r:id="rId10" w:anchor="a6676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кодекс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Республики Беларусь (далее - Трудовой кодекс) </w:t>
      </w:r>
      <w:hyperlink r:id="rId11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Законом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Республики Беларусь от 28 мая 2021 г. № 114-З «Об изменении законов» (далее - Закон от 28 мая 2021 г.).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12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6 вступил в силу 24 октября 2021 г.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Новации </w:t>
      </w:r>
      <w:hyperlink r:id="rId13" w:anchor="a1" w:tooltip="+" w:history="1">
        <w:r w:rsidRPr="00BE4838">
          <w:rPr>
            <w:rFonts w:ascii="Arial" w:eastAsia="Times New Roman" w:hAnsi="Arial" w:cs="Arial"/>
            <w:b/>
            <w:bCs/>
            <w:color w:val="0000FF"/>
            <w:sz w:val="27"/>
            <w:u w:val="single"/>
            <w:lang w:eastAsia="ru-RU"/>
          </w:rPr>
          <w:t>Декрета</w:t>
        </w:r>
      </w:hyperlink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 № 6: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определены требования к характеристике;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установлены дополнительные требования при приеме на работу в государственные органы, государственные организации и организации, более 50 процентов акций (долей в уставном фонде) которых находится в государственной собственности (далее - государственные организации);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установлено, что нарушение предусмотренного </w:t>
      </w:r>
      <w:hyperlink r:id="rId14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 порядка приема на работу, назначения на должность, выдача характеристик, содержащих заведомо недостоверную информацию, а также нарушение сроков их выдачи признается грубым нарушением трудовых обязанностей;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дополнен перечень дискредитирующих обстоятельств увольнения.</w:t>
      </w:r>
    </w:p>
    <w:p w:rsidR="00BE4838" w:rsidRPr="00BE4838" w:rsidRDefault="00BE4838" w:rsidP="00BE4838">
      <w:pPr>
        <w:spacing w:before="800" w:after="4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 характеристике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15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6 закрепляются требования к характеристике и срокам ее выдачи для целей применения </w:t>
      </w:r>
      <w:hyperlink r:id="rId16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Декрета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Так,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под характеристикой понимается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официальный документ, отражающий профессиональные, деловые и моральные качества работника, сведения о привлечении к дисциплинарной и иной ответственности, отношение к государственным и общественным институтам, иную информацию, подготовленный по форме, установленной Советом Министров Республики Беларусь.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Форма характеристики установлена </w:t>
      </w:r>
      <w:hyperlink r:id="rId17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постановлением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Совета Министров Республики Беларусь от 14 октября 2021 г. № 585 «О форме характеристики» (далее - постановление № 585). В ней </w:t>
      </w: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указываются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том числе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следующие сведения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в отношении характеризуемого работника: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профессиональные и деловые качества (компетентность, работоспособность, исполнительность, дисциплинированность, инициативность, степень самостоятельности при принятии решений, стремление повышать свой профессиональный уровень, другое);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• моральные качества (ответственность, порядочность, тактичность, доброжелательность, отзывчивость, </w:t>
      </w: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другое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участие работника в социально-общественной жизни коллектива, его взаимодействие с нанимателем, профсоюзной организацией по решению актуальных вопросов деятельности организации;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сведения:</w:t>
      </w:r>
    </w:p>
    <w:p w:rsidR="00BE4838" w:rsidRPr="00BE4838" w:rsidRDefault="00BE4838" w:rsidP="00BE4838">
      <w:pPr>
        <w:spacing w:after="160" w:line="240" w:lineRule="auto"/>
        <w:ind w:left="200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 дисциплинарных взысканиях, примененных к работнику в течение последнего года до даты выдачи характеристики (до даты увольнения);</w:t>
      </w:r>
    </w:p>
    <w:p w:rsidR="00BE4838" w:rsidRPr="00BE4838" w:rsidRDefault="00BE4838" w:rsidP="00BE4838">
      <w:pPr>
        <w:spacing w:after="160" w:line="240" w:lineRule="auto"/>
        <w:ind w:left="200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 привлечении работника к материальной ответственности;</w:t>
      </w:r>
    </w:p>
    <w:p w:rsidR="00BE4838" w:rsidRPr="00BE4838" w:rsidRDefault="00BE4838" w:rsidP="00BE4838">
      <w:pPr>
        <w:spacing w:after="160" w:line="240" w:lineRule="auto"/>
        <w:ind w:left="200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 привлечении работника к иной ответственности (при наличии таких сведений у нанимателя);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иные сведения, характеризующие работника.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направлении характеристики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 запросу государственного органа, иной государственной организации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а также организации, более 50 процентов акций (долей в уставном фонде) которой находится в государственной собственности,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дополнительно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также отражаются сведения об отношении к государственным и общественным институтам, конституционному строю, о совершавшихся действиях против порядка управления и общественной безопасности, наличии антигосударственных проявлений работника на рабочем месте.</w:t>
      </w:r>
      <w:proofErr w:type="gramEnd"/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Следует отметить, что </w:t>
      </w:r>
      <w:hyperlink r:id="rId18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 предусмотрено использование характеристики как при приеме на работу (</w:t>
      </w:r>
      <w:hyperlink r:id="rId19" w:anchor="a6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 11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5), так и при согласовании с местными исполнительными и распорядительными органами назначения лиц, уволенных по дискредитирующим обстоятельствам, на руководящие должности в течение пяти лет после такого увольнения (</w:t>
      </w:r>
      <w:hyperlink r:id="rId20" w:anchor="a62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 9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5). Соответственно, и в первом, и во втором случае характеристика должна соответствовать требованиям, предусмотренным </w:t>
      </w:r>
      <w:hyperlink r:id="rId21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 и </w:t>
      </w:r>
      <w:hyperlink r:id="rId22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постановлением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585.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Кроме того, при выдаче характеристики для целей согласования назначения на руководящие должности (</w:t>
      </w:r>
      <w:hyperlink r:id="rId23" w:anchor="a62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 9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5) также необходимо учитывать требования </w:t>
      </w:r>
      <w:hyperlink r:id="rId24" w:anchor="a15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пункта 5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Положения о порядке согласования назначения лиц, уволенных по дискредитирующим обстоятельствам, на руководящие должности, утвержденного постановлением Совета Министров Республики Беларусь от 2 февраля 2015 г. № 68.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25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6 увеличен срок, в течение которого должна быть выдана характеристика при поступлении соответствующего запроса, с пяти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до семи календарных дней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со дня получения запроса. В этой связи пятидневный срок, установленный в </w:t>
      </w:r>
      <w:hyperlink r:id="rId26" w:anchor="a9770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части третьей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статьи 26 Трудового кодекса, не применяется.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Требование о выдаче характеристики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 установленной форме и в установленные сроки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в случае поступления такого запроса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распространяется на всех нанимателей независимо от формы собственности.</w:t>
      </w:r>
    </w:p>
    <w:p w:rsidR="00BE4838" w:rsidRPr="00BE4838" w:rsidRDefault="00BE4838" w:rsidP="00BE4838">
      <w:pPr>
        <w:spacing w:before="800" w:after="4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 полномочиях на подписание характеристики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Форма характеристики, установленная </w:t>
      </w:r>
      <w:hyperlink r:id="rId27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постановлением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585, предусматривает подписание характеристики руководителем организации.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Согласно </w:t>
      </w:r>
      <w:hyperlink r:id="rId28" w:anchor="a9253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статье 1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Трудового кодекса уполномоченное должностное лицо нанимателя - руководитель (его заместители) организации (ее обособленного подразделения), руководитель структурного подразделения (его заместители), иной работник, которым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нанимателем предоставлено право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принимать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все или отдельные решения, вытекающие из трудовых и связанных с ними отношений, или иное лицо, которому такое право предоставлено законодательством.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Таким образом, в случае если законодательством или локальными правовыми актами полномочия руководителя организации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на прием на работу и увольнение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работников с работы переданы другому должностному лицу организации (например, заместитель руководителя организации, руководитель обособленного структурного подразделения), то полномочия на подписание характеристики также могут быть переданы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этому должностному лицу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BE4838" w:rsidRPr="00BE4838" w:rsidRDefault="00BE4838" w:rsidP="00BE483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 дополнительных требованиях при приеме на работу в государственные организации (</w:t>
      </w:r>
      <w:hyperlink r:id="rId29" w:anchor="a69" w:tooltip="+" w:history="1">
        <w:r w:rsidRPr="00BE4838">
          <w:rPr>
            <w:rFonts w:ascii="Times New Roman" w:eastAsia="Times New Roman" w:hAnsi="Times New Roman" w:cs="Times New Roman"/>
            <w:b/>
            <w:bCs/>
            <w:color w:val="0000FF"/>
            <w:sz w:val="28"/>
            <w:u w:val="single"/>
            <w:lang w:eastAsia="ru-RU"/>
          </w:rPr>
          <w:t>часть вторая</w:t>
        </w:r>
      </w:hyperlink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пункта 11 Декрета № 5)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приеме на работу работника в государственные организации </w:t>
      </w:r>
      <w:hyperlink r:id="rId30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6 установлена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обязанность нанимателя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если иное не установлено законодательными актами,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запрашивать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: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характеристику с предыдущего места его работы;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характеристику из государственной организации, являвшейся местом его работы в течение предшествующих пяти лет. В случае</w:t>
      </w: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если таким местом работы являлось несколько государственных организаций, характеристика запрашивается по последнему из них.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Примеры ситуаций с выдачей характеристики: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если в течение предыдущих пяти лет все места работы являлись негосударственными организациями, в том числе организациями с долей собственности государства до 50 процентов, то наниматель должен запросить одну характеристику с последнего места работы;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если в течение этого пятилетнего периода была работа как в негосударственной, так и в государственной организациях, то количество запросов зависит от того, какая организация была последним местом работы: если государственная, то будет запрошена одна характеристика, которая одновременно будет являться характеристикой с предыдущего места работы.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Если же последним местом работы была негосударственная организация, то нанимателю необходимо сделать два запроса: по последнему месту работы (в негосударственную организацию) и в государственную организацию;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если все места работы являлись государственными организациями, то наниматель должен запросить одну характеристику с последнего места работы.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Следует отметить, что характеристики необходимо запрашивать на каждого кандидата на трудоустройство в государственную организацию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независимо от того, на какую должность служащего или по какой профессии рабочего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он принимается на работу.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Кроме того, в отношении кандидатов на руководящие должности в государственных организациях помимо характеристики наниматель обязан запросить в органах внутренних дел сведения из единого государственного банка о правонарушениях. Такие сведения предоставляются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бесплатно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tbl>
      <w:tblPr>
        <w:tblW w:w="9578" w:type="dxa"/>
        <w:tblCellMar>
          <w:left w:w="80" w:type="dxa"/>
          <w:right w:w="80" w:type="dxa"/>
        </w:tblCellMar>
        <w:tblLook w:val="04A0"/>
      </w:tblPr>
      <w:tblGrid>
        <w:gridCol w:w="595"/>
        <w:gridCol w:w="8983"/>
      </w:tblGrid>
      <w:tr w:rsidR="00BE4838" w:rsidRPr="00BE4838" w:rsidTr="00BE4838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BE4838" w:rsidRPr="00BE4838" w:rsidRDefault="00BE4838" w:rsidP="00BE4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>
                  <wp:extent cx="223520" cy="223520"/>
                  <wp:effectExtent l="19050" t="0" r="5080" b="0"/>
                  <wp:docPr id="2" name="Рисунок 2" descr="справоч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равоч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3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hideMark/>
          </w:tcPr>
          <w:p w:rsidR="00BE4838" w:rsidRPr="00BE4838" w:rsidRDefault="00BE4838" w:rsidP="00BE4838">
            <w:pPr>
              <w:spacing w:before="160" w:after="16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BE483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Справочно</w:t>
            </w:r>
            <w:proofErr w:type="spellEnd"/>
          </w:p>
          <w:p w:rsidR="00BE4838" w:rsidRPr="00BE4838" w:rsidRDefault="00BE4838" w:rsidP="00BE483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Согласно нормам </w:t>
            </w:r>
            <w:hyperlink r:id="rId32" w:anchor="a8" w:tooltip="+" w:history="1">
              <w:r w:rsidRPr="00BE4838">
                <w:rPr>
                  <w:rFonts w:ascii="Arial" w:eastAsia="Times New Roman" w:hAnsi="Arial" w:cs="Arial"/>
                  <w:color w:val="0000FF"/>
                  <w:u w:val="single"/>
                  <w:lang w:eastAsia="ru-RU"/>
                </w:rPr>
                <w:t>Декрета</w:t>
              </w:r>
            </w:hyperlink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 № 5 под руководящей должностью понимается должность руководителя либо заместителя руководителя организации, иного работника, осуществляющего организационно-распорядительные (руководящие, организующие, направляющие, координирующие и контролирующие) функции применительно к организации, ее структурным подразделениям, работникам и направлениям деятельности.</w:t>
            </w:r>
          </w:p>
        </w:tc>
      </w:tr>
    </w:tbl>
    <w:p w:rsidR="00BE4838" w:rsidRPr="00BE4838" w:rsidRDefault="00BE4838" w:rsidP="00BE4838">
      <w:pPr>
        <w:spacing w:before="800" w:after="4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 праве негосударственных организаций запрашивать характеристику с предыдущего места работы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Обязанность запрашивать характеристику при приеме на работу для организаций частной формы собственности </w:t>
      </w:r>
      <w:hyperlink r:id="rId33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6 не предусмотрена. Как и прежде, за такими нанимателями осталось право при приеме на работу работника запрашивать характеристику с предыдущих мест его работы (</w:t>
      </w:r>
      <w:hyperlink r:id="rId34" w:anchor="a6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часть первая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пункта 11 Декрета № 5, </w:t>
      </w:r>
      <w:hyperlink r:id="rId35" w:anchor="a9770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часть третья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статьи 26 Трудового кодекса).</w:t>
      </w:r>
    </w:p>
    <w:p w:rsidR="00BE4838" w:rsidRPr="00BE4838" w:rsidRDefault="00BE4838" w:rsidP="00BE4838">
      <w:pPr>
        <w:spacing w:before="800" w:after="4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 получении сведений из единого государственного банка данных о правонарушениях (ЕГБДП)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соответствии с </w:t>
      </w:r>
      <w:hyperlink r:id="rId36" w:anchor="a54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частью первой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статьи 12 Закона Республики Беларусь от 9 января 2006 г. № 94-З «О единой государственной системе регистрации и учета правонарушений» (далее - Закон) предоставление сведений о правонарушениях (за исключением обезличенных персональных данных) государственным органам и иным организациям осуществляется органами внутренних дел с согласия физических лиц (их законных представителей), в том числе индивидуальных предпринимателей, или юридических лиц, о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которых запрашиваются сведения, кроме случаев, предусмотренных </w:t>
      </w:r>
      <w:hyperlink r:id="rId37" w:anchor="a5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Законом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и иными законодательными актами.</w:t>
      </w:r>
      <w:proofErr w:type="gramEnd"/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Предоставление органами внутренних дел сведений </w:t>
      </w: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 правонарушениях нанимателям при приеме на работу работника в государственные организации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без согласия</w:t>
      </w:r>
      <w:proofErr w:type="gramEnd"/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физических лиц не предусмотрено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Следовательно,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наниматель должен получить согласие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физического лица (кандидата на руководящую должность) на предоставление сведений из ЕГБДП.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соответствии с </w:t>
      </w:r>
      <w:hyperlink r:id="rId38" w:anchor="a115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частью пятой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статьи 12 Закона предоставление сведений о правонарушениях осуществляется на основании письменного запроса либо запроса в виде электронного документа государственной организации с приложением согласия физического лица, о котором запрашиваются сведения, на предоставление этих сведений либо электронного документа, подтверждающего наличие такого согласия, 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кроме случаев, предусмотренных </w:t>
      </w:r>
      <w:hyperlink r:id="rId39" w:anchor="a5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Законом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и иными законодательными актами, когда предоставление сведений о правонарушениях осуществляется без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их согласия. Согласие может быть получено в письменной форме, в виде электронного документа или в иной электронной форме с учетом требований законодательства о персональных данных.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Согласно пунктам </w:t>
      </w:r>
      <w:hyperlink r:id="rId40" w:anchor="a306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123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и </w:t>
      </w:r>
      <w:hyperlink r:id="rId41" w:anchor="a307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126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Положения о порядке функционирования единой государственной системы регистрации и учета правонарушений, утвержденного постановлением Совета Министров Республики Беларусь от 20 июля 2006 г. № 909 (в редакции постановления Совета Министров Республики Беларусь от 13 сентября 2021 г. № 523), запросы о наличии (отсутствии) сведений о правонарушениях, хранящихся в ЕГБДП, в отношении проверяемого физического лица оформляются по форме согласно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hyperlink r:id="rId42" w:anchor="a106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приложению 18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к Положению, а согласие физического лица на предоставление этих сведений - по форме согласно </w:t>
      </w:r>
      <w:hyperlink r:id="rId43" w:anchor="a10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приложению 20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к Положению.</w:t>
      </w:r>
    </w:p>
    <w:p w:rsidR="00BE4838" w:rsidRPr="00BE4838" w:rsidRDefault="00BE4838" w:rsidP="00BE4838">
      <w:pPr>
        <w:spacing w:before="800" w:after="4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 ответственности за нарушение порядка приема на работу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 </w:t>
      </w:r>
      <w:hyperlink r:id="rId44" w:anchor="a70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пункте 12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 (в редакции Декрета № 6) установлено, что: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нарушение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предусмотренного </w:t>
      </w:r>
      <w:hyperlink r:id="rId45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порядка приема на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работу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назначения на должность, выдача характеристик, содержащих заведомо недостоверную информацию, а также нарушение сроков их выдачи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признается грубым нарушением трудовых обязанностей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;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виновные деяния должностных лиц по вышеуказанному грубому нарушению трудовых обязанностей, повлекшие причинение ущерба государственной собственности либо существенного вреда государственным или общественным интересам, при наличии оснований влекут ответственность в соответствии с Уголовным </w:t>
      </w:r>
      <w:hyperlink r:id="rId46" w:anchor="a3340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кодексом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Республики Беларусь (далее - Уголовный кодекс).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этой связи факт нарушения порядка приема на работу, назначения на должность, выдача характеристик, содержащих заведомо недостоверную информацию, а также нарушение сроков их выдачи, предусмотренных </w:t>
      </w:r>
      <w:hyperlink r:id="rId47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5, является основанием для увольнения: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в отношении руководителя организации (ее обособленного подразделения), его заместителя, главного бухгалтера и его заместителя - по </w:t>
      </w:r>
      <w:hyperlink r:id="rId48" w:anchor="a9334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пункту 1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части первой статьи 47 Трудового кодекса. Увольнение по данному основанию осуществляется с соблюдением порядка расторжения трудового договора, предусмотренного статьями </w:t>
      </w:r>
      <w:hyperlink r:id="rId49" w:anchor="a9335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199-201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 </w:t>
      </w:r>
      <w:hyperlink r:id="rId50" w:anchor="a983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пунктом 4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части первой статьи 198 Трудового кодекса, а также </w:t>
      </w:r>
      <w:hyperlink r:id="rId51" w:anchor="a43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пунктом 7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5;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• в отношении иных работников, ответственных за соблюдение порядка приема на работу и выдачу характеристик, - по </w:t>
      </w:r>
      <w:hyperlink r:id="rId52" w:anchor="a9359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пункту 7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статьи 42 Трудового кодекса за однократное грубое нарушение работником трудовых обязанностей, признаваемого таковым в соответствии с законодательными актами. Увольнение по данному основанию осуществляется с соблюдением порядка и условий расторжения трудового договора по инициативе нанимателя, предусмотренного статьями </w:t>
      </w:r>
      <w:hyperlink r:id="rId53" w:anchor="a9329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43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 </w:t>
      </w:r>
      <w:hyperlink r:id="rId54" w:anchor="a9833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46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 </w:t>
      </w:r>
      <w:hyperlink r:id="rId55" w:anchor="a9335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199-201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 </w:t>
      </w:r>
      <w:hyperlink r:id="rId56" w:anchor="a983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пунктом 4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части первой статьи 198 Трудового кодекса, а также </w:t>
      </w:r>
      <w:hyperlink r:id="rId57" w:anchor="a43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пунктом 7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Понятие должностных лиц (</w:t>
      </w:r>
      <w:hyperlink r:id="rId58" w:anchor="a73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часть вторая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пункта 12 Декрета № 5) рассматривается применительно к терминам, употребляемым в Уголовном </w:t>
      </w:r>
      <w:hyperlink r:id="rId59" w:anchor="a3340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кодексе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tbl>
      <w:tblPr>
        <w:tblW w:w="9578" w:type="dxa"/>
        <w:tblCellMar>
          <w:left w:w="80" w:type="dxa"/>
          <w:right w:w="80" w:type="dxa"/>
        </w:tblCellMar>
        <w:tblLook w:val="04A0"/>
      </w:tblPr>
      <w:tblGrid>
        <w:gridCol w:w="595"/>
        <w:gridCol w:w="8983"/>
      </w:tblGrid>
      <w:tr w:rsidR="00BE4838" w:rsidRPr="00BE4838" w:rsidTr="00BE4838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BE4838" w:rsidRPr="00BE4838" w:rsidRDefault="00BE4838" w:rsidP="00BE4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>
                  <wp:extent cx="223520" cy="223520"/>
                  <wp:effectExtent l="19050" t="0" r="5080" b="0"/>
                  <wp:docPr id="3" name="Рисунок 3" descr="справоч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правоч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3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hideMark/>
          </w:tcPr>
          <w:p w:rsidR="00BE4838" w:rsidRPr="00BE4838" w:rsidRDefault="00BE4838" w:rsidP="00BE4838">
            <w:pPr>
              <w:spacing w:before="160" w:after="16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BE483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Справочно</w:t>
            </w:r>
            <w:proofErr w:type="spellEnd"/>
          </w:p>
          <w:p w:rsidR="00BE4838" w:rsidRPr="00BE4838" w:rsidRDefault="00BE4838" w:rsidP="00BE483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В соответствии с </w:t>
            </w:r>
            <w:hyperlink r:id="rId60" w:anchor="a1917" w:tooltip="+" w:history="1">
              <w:r w:rsidRPr="00BE4838">
                <w:rPr>
                  <w:rFonts w:ascii="Arial" w:eastAsia="Times New Roman" w:hAnsi="Arial" w:cs="Arial"/>
                  <w:color w:val="0000FF"/>
                  <w:u w:val="single"/>
                  <w:lang w:eastAsia="ru-RU"/>
                </w:rPr>
                <w:t>частью четвертой</w:t>
              </w:r>
            </w:hyperlink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 статьи 4 Уголовного кодекса под должностными лицами понимаются:</w:t>
            </w:r>
          </w:p>
          <w:p w:rsidR="00BE4838" w:rsidRPr="00BE4838" w:rsidRDefault="00BE4838" w:rsidP="00BE4838">
            <w:pPr>
              <w:spacing w:after="160" w:line="240" w:lineRule="auto"/>
              <w:ind w:left="502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1) представители власти, то есть депутаты Палаты представителей Национального собрания Республики Беларусь, члены Совета Республики Национального собрания Республики Беларусь, депутаты местных Советов депутатов, а равно государственные служащие, имеющие право в пределах своей компетенции отдавать распоряжения или приказы и принимать решения относительно лиц, не подчиненных им по службе;</w:t>
            </w:r>
          </w:p>
          <w:p w:rsidR="00BE4838" w:rsidRPr="00BE4838" w:rsidRDefault="00BE4838" w:rsidP="00BE4838">
            <w:pPr>
              <w:spacing w:after="160" w:line="240" w:lineRule="auto"/>
              <w:ind w:left="502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2) представители общественности, то есть лица, не находящиеся на государственной службе, но наделенные в установленном порядке полномочиями представителя власти при выполнении обязанностей по охране общественного порядка, борьбе с правонарушениями, по отправлению правосудия;</w:t>
            </w:r>
          </w:p>
          <w:p w:rsidR="00BE4838" w:rsidRPr="00BE4838" w:rsidRDefault="00BE4838" w:rsidP="00BE4838">
            <w:pPr>
              <w:spacing w:after="160" w:line="240" w:lineRule="auto"/>
              <w:ind w:left="502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3) лица, постоянно или временно либо по специальному полномочию занимающие в учреждениях, организациях или на предприятиях (независимо от форм собственности), в Вооруженных Силах Республики Беларусь, других войсках и воинских формированиях Республики Беларусь должности, связанные с выполнением организационно-распорядительных или административно-хозяйственных обязанностей, либо лица, уполномоченные в установленном порядке на совершение юридически значимых действий;</w:t>
            </w:r>
            <w:proofErr w:type="gramEnd"/>
          </w:p>
          <w:p w:rsidR="00BE4838" w:rsidRPr="00BE4838" w:rsidRDefault="00BE4838" w:rsidP="00BE4838">
            <w:pPr>
              <w:spacing w:after="0" w:line="240" w:lineRule="auto"/>
              <w:ind w:left="502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4) должностные лица иностранных государств, то есть лица, наделенные в иностранных государствах в соответствии с законодательством этих государств полномочиями, аналогичными указанным в пунктах </w:t>
            </w:r>
            <w:hyperlink r:id="rId61" w:anchor="a483" w:tooltip="+" w:history="1">
              <w:r w:rsidRPr="00BE4838">
                <w:rPr>
                  <w:rFonts w:ascii="Arial" w:eastAsia="Times New Roman" w:hAnsi="Arial" w:cs="Arial"/>
                  <w:color w:val="0000FF"/>
                  <w:u w:val="single"/>
                  <w:lang w:eastAsia="ru-RU"/>
                </w:rPr>
                <w:t>1-3</w:t>
              </w:r>
            </w:hyperlink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 части четвертой статьи 4 Уголовного кодекса, включая третейских судей и присяжных заседателей, а равно должностные лица международных организаций, члены международных парламентских собраний, судьи и должностные лица международных судов.</w:t>
            </w:r>
            <w:proofErr w:type="gramEnd"/>
          </w:p>
        </w:tc>
      </w:tr>
    </w:tbl>
    <w:p w:rsidR="00BE4838" w:rsidRPr="00BE4838" w:rsidRDefault="00BE4838" w:rsidP="00BE4838">
      <w:pPr>
        <w:spacing w:before="800" w:after="4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 дополнении перечня дискредитирующих обстоятельств увольнения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Законом от 28 мая 2021 г. </w:t>
      </w:r>
      <w:hyperlink r:id="rId62" w:anchor="a1984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статья 47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Трудового кодекса дополнена новым основанием увольнения - нарушение работником порядка сбора, систематизации, хранения, изменения, использования, обезличивания, блокирования, распространения, предоставления, удаления персональных данных (</w:t>
      </w:r>
      <w:hyperlink r:id="rId63" w:anchor="a9837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 10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части первой статьи 47 Трудового кодекса). Данное основание является мерой дисциплинарного взыскания, в связи </w:t>
      </w: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чем оно отнесено к дискредитирующим обстоятельствам увольнения. Соответствующее дополнение внесено в </w:t>
      </w:r>
      <w:hyperlink r:id="rId64" w:anchor="a9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 6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 (</w:t>
      </w:r>
      <w:hyperlink r:id="rId65" w:anchor="a65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подпункт 6.14</w:t>
        </w:r>
        <w:r w:rsidRPr="00BE4838">
          <w:rPr>
            <w:rFonts w:ascii="Arial" w:eastAsia="Times New Roman" w:hAnsi="Arial" w:cs="Arial"/>
            <w:color w:val="0000FF"/>
            <w:sz w:val="20"/>
            <w:u w:val="single"/>
            <w:vertAlign w:val="superscript"/>
            <w:lang w:eastAsia="ru-RU"/>
          </w:rPr>
          <w:t>1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Указанное основание увольнения применяется без учета порядка и условий, установленных статьями </w:t>
      </w:r>
      <w:hyperlink r:id="rId66" w:anchor="a9329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43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и </w:t>
      </w:r>
      <w:hyperlink r:id="rId67" w:anchor="a9833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46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Трудового кодекса при увольнении по инициативе нанимателя, но с соблюдением требований </w:t>
      </w:r>
      <w:hyperlink r:id="rId68" w:anchor="a610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главы 14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Трудового кодекса и </w:t>
      </w:r>
      <w:hyperlink r:id="rId69" w:anchor="a43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пункта 7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tbl>
      <w:tblPr>
        <w:tblW w:w="9436" w:type="dxa"/>
        <w:tblCellMar>
          <w:left w:w="80" w:type="dxa"/>
          <w:right w:w="80" w:type="dxa"/>
        </w:tblCellMar>
        <w:tblLook w:val="04A0"/>
      </w:tblPr>
      <w:tblGrid>
        <w:gridCol w:w="595"/>
        <w:gridCol w:w="8841"/>
      </w:tblGrid>
      <w:tr w:rsidR="00BE4838" w:rsidRPr="00BE4838" w:rsidTr="00BE4838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BE4838" w:rsidRPr="00BE4838" w:rsidRDefault="00BE4838" w:rsidP="00BE4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>
                  <wp:extent cx="223520" cy="223520"/>
                  <wp:effectExtent l="19050" t="0" r="5080" b="0"/>
                  <wp:docPr id="4" name="Рисунок 4" descr="справоч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правоч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41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hideMark/>
          </w:tcPr>
          <w:p w:rsidR="00BE4838" w:rsidRPr="00BE4838" w:rsidRDefault="00BE4838" w:rsidP="00BE4838">
            <w:pPr>
              <w:spacing w:before="160" w:after="16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BE483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Справочно</w:t>
            </w:r>
            <w:proofErr w:type="spellEnd"/>
          </w:p>
          <w:p w:rsidR="00BE4838" w:rsidRPr="00BE4838" w:rsidRDefault="00BE4838" w:rsidP="00BE483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hyperlink r:id="rId70" w:anchor="a43" w:tooltip="+" w:history="1">
              <w:r w:rsidRPr="00BE4838">
                <w:rPr>
                  <w:rFonts w:ascii="Arial" w:eastAsia="Times New Roman" w:hAnsi="Arial" w:cs="Arial"/>
                  <w:color w:val="0000FF"/>
                  <w:u w:val="single"/>
                  <w:lang w:eastAsia="ru-RU"/>
                </w:rPr>
                <w:t>Пункт 7</w:t>
              </w:r>
            </w:hyperlink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 Декрета № 5 предусматривает проведение проверки допущенных работником нарушений, результаты которой следует оформить актом (служебной запиской), а также затребовать письменное объяснение работника. При этом указанные акты (служебные записки) и объяснения подлежат хранению в организации не менее пяти лет.</w:t>
            </w:r>
          </w:p>
        </w:tc>
      </w:tr>
    </w:tbl>
    <w:p w:rsidR="00BE4838" w:rsidRPr="00BE4838" w:rsidRDefault="00BE4838" w:rsidP="00BE483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 приведении </w:t>
      </w:r>
      <w:hyperlink r:id="rId71" w:anchor="a8" w:tooltip="+" w:history="1">
        <w:r w:rsidRPr="00BE4838">
          <w:rPr>
            <w:rFonts w:ascii="Times New Roman" w:eastAsia="Times New Roman" w:hAnsi="Times New Roman" w:cs="Times New Roman"/>
            <w:b/>
            <w:bCs/>
            <w:color w:val="0000FF"/>
            <w:sz w:val="28"/>
            <w:u w:val="single"/>
            <w:lang w:eastAsia="ru-RU"/>
          </w:rPr>
          <w:t>Декрета</w:t>
        </w:r>
      </w:hyperlink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№ 5 в соответствие с Трудовым </w:t>
      </w:r>
      <w:hyperlink r:id="rId72" w:anchor="a6676" w:tooltip="+" w:history="1">
        <w:r w:rsidRPr="00BE4838">
          <w:rPr>
            <w:rFonts w:ascii="Times New Roman" w:eastAsia="Times New Roman" w:hAnsi="Times New Roman" w:cs="Times New Roman"/>
            <w:b/>
            <w:bCs/>
            <w:color w:val="0000FF"/>
            <w:sz w:val="28"/>
            <w:u w:val="single"/>
            <w:lang w:eastAsia="ru-RU"/>
          </w:rPr>
          <w:t>кодексом</w:t>
        </w:r>
      </w:hyperlink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73" w:anchor="a66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Подпункт 3.4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пункта 3 Декрета № 5 дополнен нормой, предоставляющей право руководителю организации (нанимателю) незамедлительно отстранять работника от работы в случае, если работник призывает других работников к прекращению выполнения трудовых обязанностей без уважительных причин.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Такое право на отстранение работника от работы закреплено в </w:t>
      </w:r>
      <w:hyperlink r:id="rId74" w:anchor="a936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статье 49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Трудового кодекса с 30 июня 2021 г. в связи с вступлением в силу </w:t>
      </w:r>
      <w:hyperlink r:id="rId75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Закона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от 28 мая 2021 г.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Кроме того, определены пределы отстранения работника от работы при выявлении допущенных им нарушений производственно-технологической, исполнительской или трудовой дисциплины, повлекших или способных повлечь причинение организации ущерба, путем уточнения </w:t>
      </w:r>
      <w:hyperlink r:id="rId76" w:anchor="a66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подпункта 3.4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пункта 3 Декрета № 5 </w:t>
      </w:r>
      <w:r w:rsidRPr="00BE4838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- 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 устранения нарушений. Внесенное уточнение означает, что допуск работника к работе в таком случае возможен тогда, когда отпали обстоятельства (причины), послужившие основанием для отстранения работника от работы в виде нарушений производственно-технологической, исполнительской или трудовой дисциплины.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tbl>
      <w:tblPr>
        <w:tblW w:w="9578" w:type="dxa"/>
        <w:tblCellMar>
          <w:left w:w="80" w:type="dxa"/>
          <w:right w:w="80" w:type="dxa"/>
        </w:tblCellMar>
        <w:tblLook w:val="04A0"/>
      </w:tblPr>
      <w:tblGrid>
        <w:gridCol w:w="595"/>
        <w:gridCol w:w="8983"/>
      </w:tblGrid>
      <w:tr w:rsidR="00BE4838" w:rsidRPr="00BE4838" w:rsidTr="00BE4838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BE4838" w:rsidRPr="00BE4838" w:rsidRDefault="00BE4838" w:rsidP="00BE4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>
                  <wp:extent cx="223520" cy="223520"/>
                  <wp:effectExtent l="19050" t="0" r="5080" b="0"/>
                  <wp:docPr id="5" name="Рисунок 5" descr="справоч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правоч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3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hideMark/>
          </w:tcPr>
          <w:p w:rsidR="00BE4838" w:rsidRPr="00BE4838" w:rsidRDefault="00BE4838" w:rsidP="00BE4838">
            <w:pPr>
              <w:spacing w:before="160" w:after="16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BE483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Справочно</w:t>
            </w:r>
            <w:proofErr w:type="spellEnd"/>
          </w:p>
          <w:p w:rsidR="00BE4838" w:rsidRPr="00BE4838" w:rsidRDefault="00BE4838" w:rsidP="00BE483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Отстранение от работы оформляется </w:t>
            </w:r>
            <w:r w:rsidRPr="00BE4838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приказом (распоряжением) нанимателя либо уполномоченного им должностного лица</w:t>
            </w:r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 с указанием причины отстранения от работы.</w:t>
            </w:r>
          </w:p>
        </w:tc>
      </w:tr>
    </w:tbl>
    <w:p w:rsidR="00BE4838" w:rsidRPr="00BE4838" w:rsidRDefault="00BE4838" w:rsidP="00BE4838">
      <w:pPr>
        <w:spacing w:before="800" w:after="4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 порядке и сроках хранения характеристик и сведений из ЕГБДП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Исходя из законодательства в сфере архивного дела и делопроизводства характеристики могут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храниться как в личных делах работников, так и в отдельных делах.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77" w:anchor="a3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Перечень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типовых документов Национального архивного фонда Республики Беларусь, образующихся в процессе деятельности государственных органов, иных организаций и индивидуальных предпринимателей, с указанием сроков хранения установлен постановлением Министерства юстиции Республики Беларусь от 24 мая 2012 г. № 140 (далее - Перечень).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Так, в соответствии с </w:t>
      </w:r>
      <w:hyperlink r:id="rId78" w:anchor="a20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пунктом 8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Инструкции о порядке формирования, ведения и хранения личных дел работников, утвержденной постановлением Комитета по архивам и делопроизводству при Совете Министров Республики Беларусь от 26 марта 2004 г. № 2 (далее - Инструкция по личным делам), характеристики работников, на которых ведутся личные дела, включаются в состав этих дел.</w:t>
      </w:r>
      <w:proofErr w:type="gramEnd"/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Срок хранения характеристик в составе личных дел соответствует сроку хранения самих личных дел (</w:t>
      </w:r>
      <w:hyperlink r:id="rId79" w:anchor="a32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 638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Перечня).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Характеристики работников, на которых личные дела не ведутся, включаются в отдельное дело, срок хранения которого определяется в соответствии с </w:t>
      </w:r>
      <w:hyperlink r:id="rId80" w:anchor="a56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пунктом 643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Перечня. Заголовок такого дела должен включаться в номенклатуру дел организации под самостоятельным индексом.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tbl>
      <w:tblPr>
        <w:tblW w:w="9578" w:type="dxa"/>
        <w:tblCellMar>
          <w:left w:w="80" w:type="dxa"/>
          <w:right w:w="80" w:type="dxa"/>
        </w:tblCellMar>
        <w:tblLook w:val="04A0"/>
      </w:tblPr>
      <w:tblGrid>
        <w:gridCol w:w="595"/>
        <w:gridCol w:w="8983"/>
      </w:tblGrid>
      <w:tr w:rsidR="00BE4838" w:rsidRPr="00BE4838" w:rsidTr="00BE4838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BE4838" w:rsidRPr="00BE4838" w:rsidRDefault="00BE4838" w:rsidP="00BE4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>
                  <wp:extent cx="223520" cy="223520"/>
                  <wp:effectExtent l="19050" t="0" r="5080" b="0"/>
                  <wp:docPr id="6" name="Рисунок 6" descr="справоч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правоч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3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hideMark/>
          </w:tcPr>
          <w:p w:rsidR="00BE4838" w:rsidRPr="00BE4838" w:rsidRDefault="00BE4838" w:rsidP="00BE4838">
            <w:pPr>
              <w:spacing w:before="160" w:after="16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BE483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Справочно</w:t>
            </w:r>
            <w:proofErr w:type="spellEnd"/>
          </w:p>
          <w:p w:rsidR="00BE4838" w:rsidRPr="00BE4838" w:rsidRDefault="00BE4838" w:rsidP="00BE483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Хранение характеристик «в отдельной номенклатуре» невозможно, так как номенклатура дел организации - это систематизированный перечень заголовков дел, заводимых в организации в делопроизводственном (календарном) году с указанием сроков их хранения, оформленный в установленном порядке (</w:t>
            </w:r>
            <w:hyperlink r:id="rId81" w:anchor="a303" w:tooltip="+" w:history="1">
              <w:r w:rsidRPr="00BE4838">
                <w:rPr>
                  <w:rFonts w:ascii="Arial" w:eastAsia="Times New Roman" w:hAnsi="Arial" w:cs="Arial"/>
                  <w:color w:val="0000FF"/>
                  <w:u w:val="single"/>
                  <w:lang w:eastAsia="ru-RU"/>
                </w:rPr>
                <w:t>часть четвертая</w:t>
              </w:r>
            </w:hyperlink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 пункта 150 Инструкции по делопроизводству в государственных органах, иных организациях, утвержденной постановлением Министерства юстиции Республики Беларусь от 19 января 2009 г. № 4 (далее - Инструкция по делопроизводству</w:t>
            </w:r>
            <w:proofErr w:type="gramEnd"/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)). На этом основании в номенклатуру дел организации может быть включен лишь </w:t>
            </w:r>
            <w:r w:rsidRPr="00BE4838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заголовок дела</w:t>
            </w:r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 с характеристиками (указывается на обложке дела), но никак не </w:t>
            </w:r>
            <w:r w:rsidRPr="00BE4838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характеристики</w:t>
            </w:r>
            <w:r w:rsidRPr="00BE4838">
              <w:rPr>
                <w:rFonts w:ascii="Arial" w:eastAsia="Times New Roman" w:hAnsi="Arial" w:cs="Arial"/>
                <w:color w:val="000000"/>
                <w:lang w:eastAsia="ru-RU"/>
              </w:rPr>
              <w:t>.</w:t>
            </w:r>
          </w:p>
        </w:tc>
      </w:tr>
    </w:tbl>
    <w:p w:rsidR="00BE4838" w:rsidRPr="00BE4838" w:rsidRDefault="00BE4838" w:rsidP="00BE4838">
      <w:pPr>
        <w:spacing w:before="160" w:after="160" w:line="240" w:lineRule="auto"/>
        <w:ind w:firstLine="567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решении вопроса о порядке хранения сведений из ЕГБДП следует руководствоваться общими нормами законодательства в сфере архивного дела и делопроизводства: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сведения из ЕГБДП могут включаться в состав личных дел;</w:t>
      </w:r>
    </w:p>
    <w:p w:rsidR="00BE4838" w:rsidRPr="00BE4838" w:rsidRDefault="00BE4838" w:rsidP="00BE4838">
      <w:pPr>
        <w:spacing w:after="16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• сведения из ЕГБДП могут включаться в отдельное дело, заголовок которого должен быть включен в номенклатуру дел организации под самостоятельным индексом.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Решение о порядке хранения сведений из ЕГБДП организации могут принять самостоятельно.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настоящее время срок хранения сведений из ЕГБДП нормативными правовыми актами не установлен.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случае если сведения из ЕГБДП будут включаться в состав личных дел, то их срок хранения будет соответствовать сроку хранения личных дел.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случае если сведения будут формироваться в отдельное дело, то срок их хранения будет определяться организациями самостоятельно на основании решения Центральной экспертной комиссии (экспертной комиссии) организации (</w:t>
      </w:r>
      <w:hyperlink r:id="rId82" w:anchor="a65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подпункт 165.4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пункта 165 Инструкции по делопроизводству). При этом необходимо учитывать, что устанавливаемый срок должен обеспечить наличие данного документа для целей контрольно-надзорной деятельности.</w:t>
      </w:r>
    </w:p>
    <w:p w:rsidR="00BE4838" w:rsidRPr="00BE4838" w:rsidRDefault="00BE4838" w:rsidP="00BE483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Вопросы, возникающие при реализации </w:t>
      </w:r>
      <w:hyperlink r:id="rId83" w:anchor="a8" w:tooltip="+" w:history="1">
        <w:r w:rsidRPr="00BE4838">
          <w:rPr>
            <w:rFonts w:ascii="Times New Roman" w:eastAsia="Times New Roman" w:hAnsi="Times New Roman" w:cs="Times New Roman"/>
            <w:b/>
            <w:bCs/>
            <w:color w:val="0000FF"/>
            <w:sz w:val="28"/>
            <w:u w:val="single"/>
            <w:lang w:eastAsia="ru-RU"/>
          </w:rPr>
          <w:t>Декрета</w:t>
        </w:r>
      </w:hyperlink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№ 5 с учетом изменений, внесенных </w:t>
      </w:r>
      <w:hyperlink r:id="rId84" w:anchor="a1" w:tooltip="+" w:history="1">
        <w:r w:rsidRPr="00BE4838">
          <w:rPr>
            <w:rFonts w:ascii="Times New Roman" w:eastAsia="Times New Roman" w:hAnsi="Times New Roman" w:cs="Times New Roman"/>
            <w:b/>
            <w:bCs/>
            <w:color w:val="0000FF"/>
            <w:sz w:val="28"/>
            <w:u w:val="single"/>
            <w:lang w:eastAsia="ru-RU"/>
          </w:rPr>
          <w:t>Декретом</w:t>
        </w:r>
      </w:hyperlink>
      <w:r w:rsidRPr="00BE4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№ 6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1. Должна ли форма характеристики, установленная </w:t>
      </w:r>
      <w:hyperlink r:id="rId85" w:anchor="a1" w:tooltip="+" w:history="1">
        <w:r w:rsidRPr="00BE4838">
          <w:rPr>
            <w:rFonts w:ascii="Arial" w:eastAsia="Times New Roman" w:hAnsi="Arial" w:cs="Arial"/>
            <w:b/>
            <w:bCs/>
            <w:color w:val="0000FF"/>
            <w:sz w:val="27"/>
            <w:u w:val="single"/>
            <w:lang w:eastAsia="ru-RU"/>
          </w:rPr>
          <w:t>постановлением</w:t>
        </w:r>
      </w:hyperlink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 № 585, использоваться во всех случаях, когда наниматель составляет на работника характеристику, в том числе по просьбе работника, либо данная форма применяется только для целей </w:t>
      </w:r>
      <w:hyperlink r:id="rId86" w:anchor="a8" w:tooltip="+" w:history="1">
        <w:r w:rsidRPr="00BE4838">
          <w:rPr>
            <w:rFonts w:ascii="Arial" w:eastAsia="Times New Roman" w:hAnsi="Arial" w:cs="Arial"/>
            <w:b/>
            <w:bCs/>
            <w:color w:val="0000FF"/>
            <w:sz w:val="27"/>
            <w:u w:val="single"/>
            <w:lang w:eastAsia="ru-RU"/>
          </w:rPr>
          <w:t>Декрета</w:t>
        </w:r>
      </w:hyperlink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 № 5?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87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Постановление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585 принято в целях реализации положений </w:t>
      </w:r>
      <w:hyperlink r:id="rId88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Декрета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5. Соответственно, и форма характеристики, предусмотренная этим постановлением, установлена для тех случаев выдачи характеристики, которые предусмотрены </w:t>
      </w:r>
      <w:hyperlink r:id="rId89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5, то есть: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при приеме на работу (</w:t>
      </w:r>
      <w:hyperlink r:id="rId90" w:anchor="a6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 11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5), а также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при согласовании с местными исполнительными и распорядительными органами назначения лиц, уволенных по дискредитирующим обстоятельствам, на руководящие должности в течение пяти лет после такого увольнения (</w:t>
      </w:r>
      <w:hyperlink r:id="rId91" w:anchor="a62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 9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2. Может ли работник сам взять характеристику при увольнении и представить ее новому нанимателю?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Работник при увольнении имеет право попросить у нанимателя характеристику. Однако здесь необходимо учитывать, что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правовым основанием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для выдачи характеристики по форме, установленной </w:t>
      </w:r>
      <w:hyperlink r:id="rId92" w:anchor="a1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постановлением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585, с указанием всей необходимой информации является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запрос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нового нанимателя.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Поэтому новый наниматель обязан исполнить требование </w:t>
      </w:r>
      <w:hyperlink r:id="rId93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Декрета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№ 5 и запросить характеристику по установленной форме. При этом в случае необходимости оперативного решения 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вопроса о трудоустройстве работник может принять участие в передаче запроса и доставке характеристики новому нанимателю.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3. Зачастую работников принимают на работу по совместительству, в том числе внутреннему. Как в данном случае нужно поступать нанимателю? Нужно ли запрашивать характеристику и у кого?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применении законодательства о труде под местом работы понимается организация, расположенная в определенной местности.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заключении трудового договора о работе по внутреннему совместительству работник фактически не меняет место работы. То есть место работы остается у него тем же. Соответственно, требование о представлении характеристики с предыдущего места работы на этот случай не распространяется по причине отсутствия этого предыдущего места работы.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Если же речь идет о внешнем совместительстве, то при приеме на работу внешнего совместителя в государственную организацию характеристику необходимо запрашивать. При этом предыдущим местом работы по отношению к совместительству в данном случае будет основное место работы работника. Кроме того, если основное место работы - негосударственная организация, то также потребуется запросить характеристику из государственной организации, являвшейся местом работы этого работника в течение предшествующих пяти лет.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4. Как быть, если: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организация ликвидирована:</w:t>
      </w:r>
    </w:p>
    <w:p w:rsidR="00BE4838" w:rsidRPr="00BE4838" w:rsidRDefault="00BE4838" w:rsidP="00BE4838">
      <w:pPr>
        <w:spacing w:after="160" w:line="240" w:lineRule="auto"/>
        <w:ind w:left="200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Если ликвидирована негосударственная организация, то характеристика с предыдущего места работы не запрашивается. Но при этом в любом случае запрашивается характеристика из государственной организации за последние пять лет работы (при наличии таковой);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работник ранее не работал (был учащимся, студентом, индивидуальным предпринимателем, проходил военную службу, службу и др.):</w:t>
      </w:r>
    </w:p>
    <w:p w:rsidR="00BE4838" w:rsidRPr="00BE4838" w:rsidRDefault="00BE4838" w:rsidP="00BE4838">
      <w:pPr>
        <w:spacing w:after="160" w:line="240" w:lineRule="auto"/>
        <w:ind w:left="200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отсутствии у работника ранее работы по трудовому договору характеристики не запрашиваются;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работник работал за пределами РБ:</w:t>
      </w:r>
    </w:p>
    <w:p w:rsidR="00BE4838" w:rsidRPr="00BE4838" w:rsidRDefault="00BE4838" w:rsidP="00BE4838">
      <w:pPr>
        <w:spacing w:after="0" w:line="240" w:lineRule="auto"/>
        <w:ind w:left="200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Работа за пределами РБ не рассматривается для целей применения </w:t>
      </w:r>
      <w:hyperlink r:id="rId94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Декрета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5. Характеристика запрашивается с предыдущего места работы у нанимателя в РБ;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работник работал более 5 лет назад:</w:t>
      </w:r>
    </w:p>
    <w:p w:rsidR="00BE4838" w:rsidRPr="00BE4838" w:rsidRDefault="00BE4838" w:rsidP="00BE4838">
      <w:pPr>
        <w:spacing w:after="0" w:line="240" w:lineRule="auto"/>
        <w:ind w:left="200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Предшествующим пятилетним сроком ограничена только необходимость получения характеристики из государственной организации (</w:t>
      </w:r>
      <w:hyperlink r:id="rId95" w:anchor="a72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абзац третий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части второй 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пункта 11 Декрета № 5). Что касается характеристики с предыдущего места работы (</w:t>
      </w:r>
      <w:hyperlink r:id="rId96" w:anchor="a74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абзац второй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части второй пункта 11 Декрета № 5), то обязанность запросить данную характеристику сроком не ограничена. Следовательно, запрашивать данную характеристику необходимо независимо от срока перерыва в работе;</w:t>
      </w:r>
    </w:p>
    <w:p w:rsidR="00BE4838" w:rsidRPr="00BE4838" w:rsidRDefault="00BE4838" w:rsidP="00BE4838">
      <w:pPr>
        <w:spacing w:after="0" w:line="240" w:lineRule="auto"/>
        <w:ind w:left="128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работник принимается на работу к последнему нанимателю:</w:t>
      </w:r>
    </w:p>
    <w:p w:rsidR="00BE4838" w:rsidRPr="00BE4838" w:rsidRDefault="00BE4838" w:rsidP="00BE4838">
      <w:pPr>
        <w:spacing w:after="160" w:line="240" w:lineRule="auto"/>
        <w:ind w:left="2009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Требование о наличии характеристик установлено независимо от того, к тому же или другому нанимателю работник принимается на работу. В случае поступления на работу к тому же нанимателю характеристика может быть приобщена к документам о приеме на работу без запроса.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5. Где получить информацию о том, что более 50 процентов акций (долей в уставном фонде) организации находится в государственной собственности?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Порядок раскрытия информации на рынке ценных услуг, в том числе о доле государства в уставном фонде эмитента, регламентирован </w:t>
      </w:r>
      <w:hyperlink r:id="rId97" w:anchor="a2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Инструкцией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о порядке раскрытия информации на рынке ценных бумаг, утвержденной постановлением Министерства финансов Республики Беларусь от 13 июня 2016 г. № 43.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Дополнительную информацию наниматели могут получить непосредственно в организации (посредством телефонной связи, включения соответствующего условия в запрос о выдаче характеристики и др.).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6. Необходимо ли запрашивать характеристику и сведения из базы данных о правонарушениях в случае перевода работника на руководящую должность в той же организации?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Нет, не требуется. Данные сведения запрашиваются только при приеме на работу.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7. Можно ли принять на работу работника, запросив, но не дождавшись характеристики в срок, установленный Указом (7 дней)?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Это будет нарушением порядка приема на работу.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8. Какие правовые последствия для нанимателя и работника в случае приема на работу без характеристики? Подлежит ли работник увольнению?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Согласно </w:t>
      </w:r>
      <w:hyperlink r:id="rId98" w:anchor="a70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пункту 12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Декрета № 5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нарушение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предусмотренного </w:t>
      </w:r>
      <w:hyperlink r:id="rId99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порядка приема на работу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назначения на должность, выдача характеристик, содержащих заведомо недостоверную информацию, а также нарушение сроков их выдачи </w:t>
      </w: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признается грубым нарушением трудовых обязанностей.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В этой связи факт нарушения порядка приема на работу, назначения на </w:t>
      </w: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должность, выдача характеристик, содержащих заведомо недостоверную информацию, а также нарушение сроков их выдачи, предусмотренных </w:t>
      </w:r>
      <w:hyperlink r:id="rId100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5, может повлечь увольнение руководителя организации и (или) иного уполномоченного должностного лица, ответственного за соблюдение порядка приема на работу и выдачу характеристик.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Таким образом, наниматель должен предпринять все возможные меры для получения характеристики.</w:t>
      </w:r>
    </w:p>
    <w:p w:rsidR="00BE4838" w:rsidRPr="00BE4838" w:rsidRDefault="00BE4838" w:rsidP="00BE4838">
      <w:pPr>
        <w:spacing w:after="16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Нарушение нанимателем порядка приема не является основанием для увольнения работника. То есть для работника правовые последствия отсутствуют.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9. Кто выдает характеристику в случае, если собственник назначает работника на должность руководителя из одной подчиненной организации в другую?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учетом требований </w:t>
      </w:r>
      <w:hyperlink r:id="rId101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Декрета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 характеристика должна быть. Однако, поскольку в данном случае назначение на должность руководителя организации осуществляется одним и тем же собственником, то представляется целесообразным, что характеристику в этом случае также будет готовить собственник (например, кадровая служба собственника).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10. Порядок приема на работу обязанных лиц, молодых специалистов, лиц, трудоустраивающихся по квоте.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Если законодательство предусматривает обязанность трудоустройства отдельных категорий работников, то наниматель должен исполнить это обязательство. Одновременно он должен исполнить положения </w:t>
      </w:r>
      <w:hyperlink r:id="rId102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Декрета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 и запросить характеристику.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11. Требуется ли запрашивать характеристику при приеме на работу по срочному трудовому договору?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Да, требуется. Исключение в отношении срочных трудовых договоров </w:t>
      </w:r>
      <w:hyperlink r:id="rId103" w:anchor="a8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Декретом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№ 5 не предусмотрено.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12. Можно ли принять работника на работу, если получена отрицательная характеристика?</w:t>
      </w:r>
    </w:p>
    <w:p w:rsidR="00BE4838" w:rsidRPr="00BE4838" w:rsidRDefault="00BE4838" w:rsidP="00BE483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Общие подходы по приему на работу работников, закрепленные в Трудовом </w:t>
      </w:r>
      <w:hyperlink r:id="rId104" w:anchor="a6676" w:tooltip="+" w:history="1">
        <w:r w:rsidRPr="00BE4838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кодексе</w:t>
        </w:r>
      </w:hyperlink>
      <w:r w:rsidRPr="00BE48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по-прежнему сохранены. Принятие окончательного решения о приеме или об отказе в приеме на работу, как и ранее, является исключительным правом нанимателя.</w:t>
      </w:r>
    </w:p>
    <w:p w:rsidR="00273A73" w:rsidRDefault="00273A73"/>
    <w:sectPr w:rsidR="00273A73" w:rsidSect="00214E4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E4838"/>
    <w:rsid w:val="00214E4B"/>
    <w:rsid w:val="00273A73"/>
    <w:rsid w:val="002D4269"/>
    <w:rsid w:val="00BE4838"/>
    <w:rsid w:val="00C90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73"/>
  </w:style>
  <w:style w:type="paragraph" w:styleId="1">
    <w:name w:val="heading 1"/>
    <w:basedOn w:val="a"/>
    <w:link w:val="10"/>
    <w:uiPriority w:val="9"/>
    <w:qFormat/>
    <w:rsid w:val="00BE4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E48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48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E48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E4838"/>
    <w:rPr>
      <w:color w:val="0000FF"/>
      <w:u w:val="single"/>
    </w:rPr>
  </w:style>
  <w:style w:type="paragraph" w:customStyle="1" w:styleId="author-name">
    <w:name w:val="author-name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e">
    <w:name w:val="date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ify">
    <w:name w:val="justify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text1">
    <w:name w:val="list_text_1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text2">
    <w:name w:val="list_text_2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sit">
    <w:name w:val="prim_sit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settext11">
    <w:name w:val="inset_text_11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inset111">
    <w:name w:val="list_inset11_1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gt">
    <w:name w:val="marg_t"/>
    <w:basedOn w:val="a"/>
    <w:rsid w:val="00BE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4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48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30328">
          <w:marLeft w:val="0"/>
          <w:marRight w:val="0"/>
          <w:marTop w:val="0"/>
          <w:marBottom w:val="502"/>
          <w:divBdr>
            <w:top w:val="single" w:sz="48" w:space="13" w:color="FFFFFF"/>
            <w:left w:val="none" w:sz="0" w:space="0" w:color="auto"/>
            <w:bottom w:val="single" w:sz="48" w:space="25" w:color="FFFFFF"/>
            <w:right w:val="none" w:sz="0" w:space="0" w:color="auto"/>
          </w:divBdr>
          <w:divsChild>
            <w:div w:id="165356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19864">
                  <w:marLeft w:val="0"/>
                  <w:marRight w:val="0"/>
                  <w:marTop w:val="0"/>
                  <w:marBottom w:val="0"/>
                  <w:divBdr>
                    <w:top w:val="single" w:sz="6" w:space="0" w:color="E0E0E0"/>
                    <w:left w:val="single" w:sz="6" w:space="0" w:color="E0E0E0"/>
                    <w:bottom w:val="single" w:sz="6" w:space="0" w:color="E0E0E0"/>
                    <w:right w:val="single" w:sz="6" w:space="0" w:color="E0E0E0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bii.by/tx.dll?d=33380&amp;a=9770" TargetMode="External"/><Relationship Id="rId21" Type="http://schemas.openxmlformats.org/officeDocument/2006/relationships/hyperlink" Target="https://bii.by/tx.dll?d=292768&amp;a=8" TargetMode="External"/><Relationship Id="rId42" Type="http://schemas.openxmlformats.org/officeDocument/2006/relationships/hyperlink" Target="https://bii.by/tx.dll?d=89573&amp;a=106" TargetMode="External"/><Relationship Id="rId47" Type="http://schemas.openxmlformats.org/officeDocument/2006/relationships/hyperlink" Target="https://bii.by/tx.dll?d=292768&amp;a=8" TargetMode="External"/><Relationship Id="rId63" Type="http://schemas.openxmlformats.org/officeDocument/2006/relationships/hyperlink" Target="https://bii.by/tx.dll?d=33380&amp;a=9837" TargetMode="External"/><Relationship Id="rId68" Type="http://schemas.openxmlformats.org/officeDocument/2006/relationships/hyperlink" Target="https://bii.by/tx.dll?d=33380&amp;a=610" TargetMode="External"/><Relationship Id="rId84" Type="http://schemas.openxmlformats.org/officeDocument/2006/relationships/hyperlink" Target="https://bii.by/tx.dll?d=467084&amp;a=1" TargetMode="External"/><Relationship Id="rId89" Type="http://schemas.openxmlformats.org/officeDocument/2006/relationships/hyperlink" Target="https://bii.by/tx.dll?d=292768&amp;a=8" TargetMode="External"/><Relationship Id="rId7" Type="http://schemas.openxmlformats.org/officeDocument/2006/relationships/hyperlink" Target="https://bii.by/tx.dll?d=467084&amp;a=1" TargetMode="External"/><Relationship Id="rId71" Type="http://schemas.openxmlformats.org/officeDocument/2006/relationships/hyperlink" Target="https://bii.by/tx.dll?d=292768&amp;a=8" TargetMode="External"/><Relationship Id="rId92" Type="http://schemas.openxmlformats.org/officeDocument/2006/relationships/hyperlink" Target="https://bii.by/tx.dll?d=467588&amp;a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ii.by/tx.dll?d=292768&amp;a=8" TargetMode="External"/><Relationship Id="rId29" Type="http://schemas.openxmlformats.org/officeDocument/2006/relationships/hyperlink" Target="https://bii.by/tx.dll?d=292768&amp;a=69" TargetMode="External"/><Relationship Id="rId11" Type="http://schemas.openxmlformats.org/officeDocument/2006/relationships/hyperlink" Target="https://bii.by/tx.dll?d=457234&amp;a=1" TargetMode="External"/><Relationship Id="rId24" Type="http://schemas.openxmlformats.org/officeDocument/2006/relationships/hyperlink" Target="https://bii.by/tx.dll?d=295953&amp;a=15" TargetMode="External"/><Relationship Id="rId32" Type="http://schemas.openxmlformats.org/officeDocument/2006/relationships/hyperlink" Target="https://bii.by/tx.dll?d=292768&amp;a=8" TargetMode="External"/><Relationship Id="rId37" Type="http://schemas.openxmlformats.org/officeDocument/2006/relationships/hyperlink" Target="https://bii.by/tx.dll?d=84371&amp;a=5" TargetMode="External"/><Relationship Id="rId40" Type="http://schemas.openxmlformats.org/officeDocument/2006/relationships/hyperlink" Target="https://bii.by/tx.dll?d=89573&amp;a=306" TargetMode="External"/><Relationship Id="rId45" Type="http://schemas.openxmlformats.org/officeDocument/2006/relationships/hyperlink" Target="https://bii.by/tx.dll?d=292768&amp;a=8" TargetMode="External"/><Relationship Id="rId53" Type="http://schemas.openxmlformats.org/officeDocument/2006/relationships/hyperlink" Target="https://bii.by/tx.dll?d=33380&amp;a=9329" TargetMode="External"/><Relationship Id="rId58" Type="http://schemas.openxmlformats.org/officeDocument/2006/relationships/hyperlink" Target="https://bii.by/tx.dll?d=292768&amp;a=73" TargetMode="External"/><Relationship Id="rId66" Type="http://schemas.openxmlformats.org/officeDocument/2006/relationships/hyperlink" Target="https://bii.by/tx.dll?d=33380&amp;a=9329" TargetMode="External"/><Relationship Id="rId74" Type="http://schemas.openxmlformats.org/officeDocument/2006/relationships/hyperlink" Target="https://bii.by/tx.dll?d=33380&amp;a=9361" TargetMode="External"/><Relationship Id="rId79" Type="http://schemas.openxmlformats.org/officeDocument/2006/relationships/hyperlink" Target="https://bii.by/tx.dll?d=243617&amp;a=328" TargetMode="External"/><Relationship Id="rId87" Type="http://schemas.openxmlformats.org/officeDocument/2006/relationships/hyperlink" Target="https://bii.by/tx.dll?d=467588&amp;a=1" TargetMode="External"/><Relationship Id="rId102" Type="http://schemas.openxmlformats.org/officeDocument/2006/relationships/hyperlink" Target="https://bii.by/tx.dll?d=292768&amp;a=8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s://bii.by/tx.dll?d=33384&amp;a=483" TargetMode="External"/><Relationship Id="rId82" Type="http://schemas.openxmlformats.org/officeDocument/2006/relationships/hyperlink" Target="https://bii.by/tx.dll?d=152181&amp;a=658" TargetMode="External"/><Relationship Id="rId90" Type="http://schemas.openxmlformats.org/officeDocument/2006/relationships/hyperlink" Target="https://bii.by/tx.dll?d=292768&amp;a=68" TargetMode="External"/><Relationship Id="rId95" Type="http://schemas.openxmlformats.org/officeDocument/2006/relationships/hyperlink" Target="https://bii.by/tx.dll?d=292768&amp;a=72" TargetMode="External"/><Relationship Id="rId19" Type="http://schemas.openxmlformats.org/officeDocument/2006/relationships/hyperlink" Target="https://bii.by/tx.dll?d=292768&amp;a=68" TargetMode="External"/><Relationship Id="rId14" Type="http://schemas.openxmlformats.org/officeDocument/2006/relationships/hyperlink" Target="https://bii.by/tx.dll?d=292768&amp;a=8" TargetMode="External"/><Relationship Id="rId22" Type="http://schemas.openxmlformats.org/officeDocument/2006/relationships/hyperlink" Target="https://bii.by/tx.dll?d=467588&amp;a=1" TargetMode="External"/><Relationship Id="rId27" Type="http://schemas.openxmlformats.org/officeDocument/2006/relationships/hyperlink" Target="https://bii.by/tx.dll?d=467588&amp;a=1" TargetMode="External"/><Relationship Id="rId30" Type="http://schemas.openxmlformats.org/officeDocument/2006/relationships/hyperlink" Target="https://bii.by/tx.dll?d=467084&amp;a=1" TargetMode="External"/><Relationship Id="rId35" Type="http://schemas.openxmlformats.org/officeDocument/2006/relationships/hyperlink" Target="https://bii.by/tx.dll?d=33380&amp;a=9770" TargetMode="External"/><Relationship Id="rId43" Type="http://schemas.openxmlformats.org/officeDocument/2006/relationships/hyperlink" Target="https://bii.by/tx.dll?d=89573&amp;a=108" TargetMode="External"/><Relationship Id="rId48" Type="http://schemas.openxmlformats.org/officeDocument/2006/relationships/hyperlink" Target="https://bii.by/tx.dll?d=33380&amp;a=9334" TargetMode="External"/><Relationship Id="rId56" Type="http://schemas.openxmlformats.org/officeDocument/2006/relationships/hyperlink" Target="https://bii.by/tx.dll?d=33380&amp;a=9838" TargetMode="External"/><Relationship Id="rId64" Type="http://schemas.openxmlformats.org/officeDocument/2006/relationships/hyperlink" Target="https://bii.by/tx.dll?d=292768&amp;a=9" TargetMode="External"/><Relationship Id="rId69" Type="http://schemas.openxmlformats.org/officeDocument/2006/relationships/hyperlink" Target="https://bii.by/tx.dll?d=292768&amp;a=43" TargetMode="External"/><Relationship Id="rId77" Type="http://schemas.openxmlformats.org/officeDocument/2006/relationships/hyperlink" Target="https://bii.by/tx.dll?d=243617&amp;a=3" TargetMode="External"/><Relationship Id="rId100" Type="http://schemas.openxmlformats.org/officeDocument/2006/relationships/hyperlink" Target="https://bii.by/tx.dll?d=292768&amp;a=8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s://bii.by/tx.dll?d=292768&amp;a=8" TargetMode="External"/><Relationship Id="rId51" Type="http://schemas.openxmlformats.org/officeDocument/2006/relationships/hyperlink" Target="https://bii.by/tx.dll?d=292768&amp;a=43" TargetMode="External"/><Relationship Id="rId72" Type="http://schemas.openxmlformats.org/officeDocument/2006/relationships/hyperlink" Target="https://bii.by/tx.dll?d=33380&amp;a=6676" TargetMode="External"/><Relationship Id="rId80" Type="http://schemas.openxmlformats.org/officeDocument/2006/relationships/hyperlink" Target="https://bii.by/tx.dll?d=243617&amp;a=56" TargetMode="External"/><Relationship Id="rId85" Type="http://schemas.openxmlformats.org/officeDocument/2006/relationships/hyperlink" Target="https://bii.by/tx.dll?d=467588&amp;a=1" TargetMode="External"/><Relationship Id="rId93" Type="http://schemas.openxmlformats.org/officeDocument/2006/relationships/hyperlink" Target="https://bii.by/tx.dll?d=292768&amp;a=8" TargetMode="External"/><Relationship Id="rId98" Type="http://schemas.openxmlformats.org/officeDocument/2006/relationships/hyperlink" Target="https://bii.by/tx.dll?d=292768&amp;a=7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bii.by/tx.dll?d=467084&amp;a=1" TargetMode="External"/><Relationship Id="rId17" Type="http://schemas.openxmlformats.org/officeDocument/2006/relationships/hyperlink" Target="https://bii.by/tx.dll?d=467588&amp;a=1" TargetMode="External"/><Relationship Id="rId25" Type="http://schemas.openxmlformats.org/officeDocument/2006/relationships/hyperlink" Target="https://bii.by/tx.dll?d=467084&amp;a=1" TargetMode="External"/><Relationship Id="rId33" Type="http://schemas.openxmlformats.org/officeDocument/2006/relationships/hyperlink" Target="https://bii.by/tx.dll?d=467084&amp;a=1" TargetMode="External"/><Relationship Id="rId38" Type="http://schemas.openxmlformats.org/officeDocument/2006/relationships/hyperlink" Target="https://bii.by/tx.dll?d=84371&amp;a=115" TargetMode="External"/><Relationship Id="rId46" Type="http://schemas.openxmlformats.org/officeDocument/2006/relationships/hyperlink" Target="https://bii.by/tx.dll?d=33384&amp;a=3340" TargetMode="External"/><Relationship Id="rId59" Type="http://schemas.openxmlformats.org/officeDocument/2006/relationships/hyperlink" Target="https://bii.by/tx.dll?d=33384&amp;a=3340" TargetMode="External"/><Relationship Id="rId67" Type="http://schemas.openxmlformats.org/officeDocument/2006/relationships/hyperlink" Target="https://bii.by/tx.dll?d=33380&amp;a=9833" TargetMode="External"/><Relationship Id="rId103" Type="http://schemas.openxmlformats.org/officeDocument/2006/relationships/hyperlink" Target="https://bii.by/tx.dll?d=292768&amp;a=8" TargetMode="External"/><Relationship Id="rId20" Type="http://schemas.openxmlformats.org/officeDocument/2006/relationships/hyperlink" Target="https://bii.by/tx.dll?d=292768&amp;a=62" TargetMode="External"/><Relationship Id="rId41" Type="http://schemas.openxmlformats.org/officeDocument/2006/relationships/hyperlink" Target="https://bii.by/tx.dll?d=89573&amp;a=307" TargetMode="External"/><Relationship Id="rId54" Type="http://schemas.openxmlformats.org/officeDocument/2006/relationships/hyperlink" Target="https://bii.by/tx.dll?d=33380&amp;a=9833" TargetMode="External"/><Relationship Id="rId62" Type="http://schemas.openxmlformats.org/officeDocument/2006/relationships/hyperlink" Target="https://bii.by/tx.dll?d=33380&amp;a=1984" TargetMode="External"/><Relationship Id="rId70" Type="http://schemas.openxmlformats.org/officeDocument/2006/relationships/hyperlink" Target="https://bii.by/tx.dll?d=292768&amp;a=43" TargetMode="External"/><Relationship Id="rId75" Type="http://schemas.openxmlformats.org/officeDocument/2006/relationships/hyperlink" Target="https://bii.by/tx.dll?d=457234&amp;a=1" TargetMode="External"/><Relationship Id="rId83" Type="http://schemas.openxmlformats.org/officeDocument/2006/relationships/hyperlink" Target="https://bii.by/tx.dll?d=292768&amp;a=8" TargetMode="External"/><Relationship Id="rId88" Type="http://schemas.openxmlformats.org/officeDocument/2006/relationships/hyperlink" Target="https://bii.by/tx.dll?d=292768&amp;a=8" TargetMode="External"/><Relationship Id="rId91" Type="http://schemas.openxmlformats.org/officeDocument/2006/relationships/hyperlink" Target="https://bii.by/tx.dll?d=292768&amp;a=62" TargetMode="External"/><Relationship Id="rId96" Type="http://schemas.openxmlformats.org/officeDocument/2006/relationships/hyperlink" Target="https://bii.by/tx.dll?d=292768&amp;a=7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intrud.gov.by/system/extensions/spaw/uploads/files/Razjjasnenie-Dekret-6-s-dopolnenijami.pdf" TargetMode="External"/><Relationship Id="rId15" Type="http://schemas.openxmlformats.org/officeDocument/2006/relationships/hyperlink" Target="https://bii.by/tx.dll?d=467084&amp;a=1" TargetMode="External"/><Relationship Id="rId23" Type="http://schemas.openxmlformats.org/officeDocument/2006/relationships/hyperlink" Target="https://bii.by/tx.dll?d=292768&amp;a=62" TargetMode="External"/><Relationship Id="rId28" Type="http://schemas.openxmlformats.org/officeDocument/2006/relationships/hyperlink" Target="https://bii.by/tx.dll?d=33380&amp;a=9253" TargetMode="External"/><Relationship Id="rId36" Type="http://schemas.openxmlformats.org/officeDocument/2006/relationships/hyperlink" Target="https://bii.by/tx.dll?d=84371&amp;a=54" TargetMode="External"/><Relationship Id="rId49" Type="http://schemas.openxmlformats.org/officeDocument/2006/relationships/hyperlink" Target="https://bii.by/tx.dll?d=33380&amp;a=9335" TargetMode="External"/><Relationship Id="rId57" Type="http://schemas.openxmlformats.org/officeDocument/2006/relationships/hyperlink" Target="https://bii.by/tx.dll?d=292768&amp;a=43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s://bii.by/tx.dll?d=33380&amp;a=6676" TargetMode="External"/><Relationship Id="rId31" Type="http://schemas.openxmlformats.org/officeDocument/2006/relationships/image" Target="media/image2.png"/><Relationship Id="rId44" Type="http://schemas.openxmlformats.org/officeDocument/2006/relationships/hyperlink" Target="https://bii.by/tx.dll?d=292768&amp;a=70" TargetMode="External"/><Relationship Id="rId52" Type="http://schemas.openxmlformats.org/officeDocument/2006/relationships/hyperlink" Target="https://bii.by/tx.dll?d=33380&amp;a=9359" TargetMode="External"/><Relationship Id="rId60" Type="http://schemas.openxmlformats.org/officeDocument/2006/relationships/hyperlink" Target="https://bii.by/tx.dll?d=33384&amp;a=1917" TargetMode="External"/><Relationship Id="rId65" Type="http://schemas.openxmlformats.org/officeDocument/2006/relationships/hyperlink" Target="https://bii.by/tx.dll?d=292768&amp;a=65" TargetMode="External"/><Relationship Id="rId73" Type="http://schemas.openxmlformats.org/officeDocument/2006/relationships/hyperlink" Target="https://bii.by/tx.dll?d=292768&amp;a=66" TargetMode="External"/><Relationship Id="rId78" Type="http://schemas.openxmlformats.org/officeDocument/2006/relationships/hyperlink" Target="https://bii.by/tx.dll?d=69763&amp;a=20" TargetMode="External"/><Relationship Id="rId81" Type="http://schemas.openxmlformats.org/officeDocument/2006/relationships/hyperlink" Target="https://bii.by/tx.dll?d=152181&amp;a=303" TargetMode="External"/><Relationship Id="rId86" Type="http://schemas.openxmlformats.org/officeDocument/2006/relationships/hyperlink" Target="https://bii.by/tx.dll?d=292768&amp;a=8" TargetMode="External"/><Relationship Id="rId94" Type="http://schemas.openxmlformats.org/officeDocument/2006/relationships/hyperlink" Target="https://bii.by/tx.dll?d=292768&amp;a=8" TargetMode="External"/><Relationship Id="rId99" Type="http://schemas.openxmlformats.org/officeDocument/2006/relationships/hyperlink" Target="https://bii.by/tx.dll?d=292768&amp;a=8" TargetMode="External"/><Relationship Id="rId101" Type="http://schemas.openxmlformats.org/officeDocument/2006/relationships/hyperlink" Target="https://bii.by/tx.dll?d=292768&amp;a=8" TargetMode="External"/><Relationship Id="rId4" Type="http://schemas.openxmlformats.org/officeDocument/2006/relationships/hyperlink" Target="https://bii.by/tx.dll?d=467084&amp;a=1" TargetMode="External"/><Relationship Id="rId9" Type="http://schemas.openxmlformats.org/officeDocument/2006/relationships/hyperlink" Target="https://bii.by/tx.dll?d=467084&amp;a=1" TargetMode="External"/><Relationship Id="rId13" Type="http://schemas.openxmlformats.org/officeDocument/2006/relationships/hyperlink" Target="https://bii.by/tx.dll?d=467084&amp;a=1" TargetMode="External"/><Relationship Id="rId18" Type="http://schemas.openxmlformats.org/officeDocument/2006/relationships/hyperlink" Target="https://bii.by/tx.dll?d=292768&amp;a=8" TargetMode="External"/><Relationship Id="rId39" Type="http://schemas.openxmlformats.org/officeDocument/2006/relationships/hyperlink" Target="https://bii.by/tx.dll?d=84371&amp;a=5" TargetMode="External"/><Relationship Id="rId34" Type="http://schemas.openxmlformats.org/officeDocument/2006/relationships/hyperlink" Target="https://bii.by/tx.dll?d=292768&amp;a=68" TargetMode="External"/><Relationship Id="rId50" Type="http://schemas.openxmlformats.org/officeDocument/2006/relationships/hyperlink" Target="https://bii.by/tx.dll?d=33380&amp;a=9838" TargetMode="External"/><Relationship Id="rId55" Type="http://schemas.openxmlformats.org/officeDocument/2006/relationships/hyperlink" Target="https://bii.by/tx.dll?d=33380&amp;a=9335" TargetMode="External"/><Relationship Id="rId76" Type="http://schemas.openxmlformats.org/officeDocument/2006/relationships/hyperlink" Target="https://bii.by/tx.dll?d=292768&amp;a=66" TargetMode="External"/><Relationship Id="rId97" Type="http://schemas.openxmlformats.org/officeDocument/2006/relationships/hyperlink" Target="https://bii.by/tx.dll?d=327263&amp;a=2" TargetMode="External"/><Relationship Id="rId104" Type="http://schemas.openxmlformats.org/officeDocument/2006/relationships/hyperlink" Target="https://bii.by/tx.dll?d=33380&amp;a=66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5223</Words>
  <Characters>29772</Characters>
  <Application>Microsoft Office Word</Application>
  <DocSecurity>0</DocSecurity>
  <Lines>248</Lines>
  <Paragraphs>69</Paragraphs>
  <ScaleCrop>false</ScaleCrop>
  <Company>KTZSZ</Company>
  <LinksUpToDate>false</LinksUpToDate>
  <CharactersWithSpaces>34926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dubrova</dc:creator>
  <cp:lastModifiedBy>dubrova</cp:lastModifiedBy>
  <cp:revision>1</cp:revision>
  <dcterms:created xsi:type="dcterms:W3CDTF">2021-12-06T11:16:00Z</dcterms:created>
  <dcterms:modified xsi:type="dcterms:W3CDTF">2021-12-06T11:18:00Z</dcterms:modified>
</cp:coreProperties>
</file>