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3740150</wp:posOffset>
            </wp:positionH>
            <wp:positionV relativeFrom="margin">
              <wp:posOffset>0</wp:posOffset>
            </wp:positionV>
            <wp:extent cx="597535" cy="597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7535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131" w:left="1624" w:right="789" w:bottom="121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12700</wp:posOffset>
                </wp:positionV>
                <wp:extent cx="1710055" cy="91186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0055" cy="911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Дзяржауны кам!тэт</w:t>
                              <w:br/>
                              <w:t>па стандартизации!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РэспублМ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3.05000000000001pt;margin-top:1.pt;width:134.65000000000001pt;height:71.79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Дзяржауны кам!тэт</w:t>
                        <w:br/>
                        <w:t>па стандартизации!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РэспублМ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30"/>
          <w:szCs w:val="3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left="5354" w:right="790" w:bottom="12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(Госстаидарт)</w:t>
      </w: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left="0" w:right="0" w:bottom="1218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Старавшенсю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 by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1" w:left="1894" w:right="930" w:bottom="1218" w:header="0" w:footer="3" w:gutter="0"/>
          <w:cols w:num="2" w:space="60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тэл.+375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e-mail: be</w:t>
      </w:r>
      <w:r>
        <w:fldChar w:fldCharType="begin"/>
      </w:r>
      <w:r>
        <w:rPr/>
        <w:instrText> HYPERLINK "mailto:lst@gosstandart.gov.by"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0" w:after="4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2" w:left="0" w:right="0" w:bottom="14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прекращении действия на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Беларусь документов об оценке соответствия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Брестской областной инспекцией Госстандарта Частного строительного унитарного предприятия «Варяг- плюс» (УНП 290672663, акт проверки от 02.07.2020 № 103ПТ2083)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кровать детская «МОЙ МАЛЫШ-Николь» 6 в 1, артикул ММ15-6-3, пр. НП.СК.01.29.00.00.00-01. Изготовитель ИП Синцов В.В. (Российская Федерация, р.п. Шаранга), поставщик ООО «МаМалыш» (УНП 190845554, 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технического регламента Таможенного союза ТР ТС 025/2012 «О безопасности мебельной продукции» (пункт 2 статьи 5) по механической безопасности: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обеспечивается необходимый уровень ударной прочности: после 500 циклов ударного нагружения в каждой испытываемой точке должны отсутствовать видимые разрушения, фактически произошло нарушение крепления, выпадение и разрушение щитовой заглушины спального места боковой секции в точке 1 на 400 цикле;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обеспечивается отсутствие недопустимого риска возникновения опасности падения детей при эксплуатации кроватей, необходимый уровень защиты здоровья детей от несоблюдения требований к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функциональным размерам изделий мебели: переменная высота ложа должна быть 300 (500) мм, фактически переменная высота ложа составляет 199-204 мм, 376-381 мм, 403-408 мм, 545-550 мм; высота бокового ограждения должна быть 950 мм, фактически высота бокового ограждения составляет 925-930 мм при переменной высоте ложа 199-204 мм, 376-381 мм, 403-408 мм, 545-550 мм.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Продукция сопровождалась сертификатом соответствия Таможенного союза №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С-Ии.ДМ46.В.00083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серийный выпуск мебели детской пр. НП.СК.01.00.00.00.00, на соответствие требованиям ТР ТС 025/2012, выданным органом по сертификации ООО «МЕБЕЛБ-ТЕСТ-ИВАНОВО+» (Российская Федерация, г. Иваново), сроком действия с 30.03.2018 до 29.03.2021.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740"/>
        <w:jc w:val="both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1054100</wp:posOffset>
                </wp:positionV>
                <wp:extent cx="4667885" cy="130048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7885" cy="1300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7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ПРЕДПИСЫВАЮ: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986" w:val="left"/>
                                <w:tab w:pos="5684" w:val="left"/>
                              </w:tabs>
                              <w:bidi w:val="0"/>
                              <w:spacing w:before="0" w:after="0"/>
                              <w:ind w:left="0" w:right="0" w:firstLine="72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Прекратить с</w:t>
                              <w:tab/>
                              <w:t>2020 года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территории Республики Беларусь сертификата № ТС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RU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С-ВС.ДМ46.В,00083.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1210" w:val="left"/>
                              </w:tabs>
                              <w:bidi w:val="0"/>
                              <w:spacing w:before="0" w:after="0"/>
                              <w:ind w:left="0" w:right="0" w:firstLine="7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Государственному таможенному комитету, антимонопольного регулирования и торговли,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1.099999999999994pt;margin-top:83.pt;width:367.55000000000001pt;height:102.4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7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ПРЕДПИСЫВАЮ: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986" w:val="left"/>
                          <w:tab w:pos="5684" w:val="left"/>
                        </w:tabs>
                        <w:bidi w:val="0"/>
                        <w:spacing w:before="0" w:after="0"/>
                        <w:ind w:left="0" w:right="0" w:firstLine="7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Прекратить с</w:t>
                        <w:tab/>
                        <w:t>2020 года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территории Республики Беларусь сертификата № ТС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RU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С-ВС.ДМ46.В,00083.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210" w:val="left"/>
                        </w:tabs>
                        <w:bidi w:val="0"/>
                        <w:spacing w:before="0" w:after="0"/>
                        <w:ind w:left="0" w:right="0" w:firstLine="7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Государственному таможенному комитету, антимонопольного регулирования и торговли,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1257300</wp:posOffset>
                </wp:positionV>
                <wp:extent cx="1225550" cy="4572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действие на соответствии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8.89999999999998pt;margin-top:99.pt;width:96.5pt;height:36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действие на соответствии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30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Министерству Министерству здравоохранения, Министерству внутренних дел, облисполкомам и Минскому горисполкому: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усилить контроль и надзор за ввозом и оборотом вышеуказанной продукции на территории Республики Беларусь;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принять необходимые меры по недопущению наличия в реализации данной продукции.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Главным государственным инспекторам областей по надзору за соблюдением технических регламентов: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государственного надзора проверять выполнение данного предписания;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33" w:val="left"/>
        </w:tabs>
        <w:bidi w:val="0"/>
        <w:spacing w:before="0" w:after="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2" w:left="1604" w:right="775" w:bottom="14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фактов нарушения требований</w:t>
      </w:r>
    </w:p>
    <w:p>
      <w:pPr>
        <w:pStyle w:val="Style12"/>
        <w:keepNext w:val="0"/>
        <w:keepLines w:val="0"/>
        <w:framePr w:w="6890" w:h="382" w:wrap="none" w:vAnchor="text" w:hAnchor="page" w:x="16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законодательства, принимать исчерпывающие меры.</w:t>
      </w:r>
    </w:p>
    <w:p>
      <w:pPr>
        <w:widowControl w:val="0"/>
        <w:spacing w:line="360" w:lineRule="exact"/>
      </w:pPr>
      <w:r>
        <w:drawing>
          <wp:anchor distT="255905" distB="0" distL="11430" distR="0" simplePos="0" relativeHeight="62914693" behindDoc="1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268605</wp:posOffset>
            </wp:positionV>
            <wp:extent cx="5980430" cy="154241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980430" cy="15424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59" w:left="1601" w:right="777" w:bottom="7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309880</wp:posOffset>
              </wp:positionV>
              <wp:extent cx="7302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10000000000002pt;margin-top:24.399999999999999pt;width:5.75pt;height:9.3499999999999996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Подпись к картинк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