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1678305</wp:posOffset>
                </wp:positionH>
                <wp:positionV relativeFrom="paragraph">
                  <wp:posOffset>12700</wp:posOffset>
                </wp:positionV>
                <wp:extent cx="1707515" cy="93281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7515" cy="932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Дзяржауны кам!тэт</w:t>
                              <w:br/>
                              <w:t>па стандартызацы!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shd w:val="clear" w:color="auto" w:fill="auto"/>
                                <w:lang w:val="ru-RU" w:eastAsia="ru-RU" w:bidi="ru-RU"/>
                              </w:rPr>
                              <w:t>Рэспублпа Беларусь</w:t>
                              <w:br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(Дзяржстандарт)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2.15000000000001pt;margin-top:1.pt;width:134.44999999999999pt;height:73.450000000000003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Дзяржауны кам!тэт</w:t>
                        <w:br/>
                        <w:t>па стандартызацы!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shd w:val="clear" w:color="auto" w:fill="auto"/>
                          <w:lang w:val="ru-RU" w:eastAsia="ru-RU" w:bidi="ru-RU"/>
                        </w:rPr>
                        <w:t>Рэспублпа Беларусь</w:t>
                        <w:br/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(Дзяржстандарт)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8"/>
          <w:szCs w:val="28"/>
        </w:rPr>
        <w:sectPr>
          <w:headerReference w:type="default" r:id="rId5"/>
          <w:head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2562" w:left="5332" w:right="793" w:bottom="1736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ru-RU" w:eastAsia="ru-RU" w:bidi="ru-RU"/>
        </w:rPr>
        <w:t>Государственный комитет</w:t>
        <w:br/>
        <w:t>по стандартизации</w:t>
        <w:br/>
        <w:t>Республики Беларусь</w:t>
        <w:br/>
      </w:r>
      <w:r>
        <w:rPr>
          <w:b/>
          <w:bCs/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(Госстандарт)</w:t>
      </w:r>
    </w:p>
    <w:p>
      <w:pPr>
        <w:widowControl w:val="0"/>
        <w:spacing w:before="2" w:after="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562" w:left="0" w:right="0" w:bottom="1736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Старавшенск! тракт, 93, 220053, г. Мшск</w:t>
        <w:br/>
        <w:t>тэл. +375 17 379 62 13, факс +375 17 363 25 88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e-mail: belst@gosstandart.gov,by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562" w:left="1876" w:right="948" w:bottom="1736" w:header="0" w:footer="3" w:gutter="0"/>
          <w:cols w:num="2" w:space="605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Старовиленский тракт, 93, 220053, г. Минск</w:t>
        <w:br/>
        <w:t>тэл, +375 17 379 62 13, факс+375 17 363 25 88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e-mail; </w:t>
      </w:r>
      <w:r>
        <w:fldChar w:fldCharType="begin"/>
      </w:r>
      <w:r>
        <w:rPr/>
        <w:instrText> HYPERLINK "mailto:belst@gosstandart.gov.by"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belst@gosstandart.gov.by</w:t>
      </w:r>
      <w:r>
        <w:fldChar w:fldCharType="end"/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2" w:after="8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45" w:left="0" w:right="0" w:bottom="2455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ПРЕДПИСАНИЕ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192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Главного государственного инспектора</w:t>
        <w:br/>
        <w:t>Республики Беларусь по надзору за соблюдением</w:t>
        <w:br/>
        <w:t>технических регламентов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запрете ввоза и обращения опасной продукции на территории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19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Республики Беларусь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результате проверки Брестской областной инспекцией Госстандарта частного торгово-производственного унитарного предприятия «Ковш изобилия» (УНП 290491616, акт проверки от 31.07.^020 № 10511Т2093)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выявлена опасная продукция: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игрушка детская из полимерных материалов с элементами из металла «Самокат»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FAVORIT,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артикул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4105-OR,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для детей от 3-х лет и старше, допустимая максимальная нагрузка 20 кг, изготовитель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«GUANGDONG AUSINI TOYS INDUSTRY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СО.,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LTD»,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Китай. Импортер в Республику Беларусь ООО «ВелоТойс» (УНП 192673469, г. Минск).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 результатам проверки установлено, что продукция не соответствует требованиям технического регламента Таможенного союза ТР ТС 008/2011 «О безопасности игрушек» (пункта 3.2 статьи 4), ГОСТ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71-1-2014 «Игрушки. Требования безопасности. Часть 1. Механические и физические свойства» (пунктов 4.15.5.6, 4.15.5.7) по безопасности - не обеспечивается отсутствие риска обусловленного конструкцией самоката: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диаметр передних колес самоката при норме не менее 120 мм составил - 108,7 мм правого переднего колеса и 108,6 мм левого переднего колеса;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диаметр ручек управления самоката при норме не менее 40 мм составил - 38,0 мм правой ручки управления и 38,1 мм левой ручки управления.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20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основании подпункта 2.1 пункта 2 Указа Президента Республики Беларусь от 09.02.2015 № 48 «О мерах по обеспечению государственного контроля (надзора) за соблюдением требований технических регламентов»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ЗАПРЕЩАЕТСЯ: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906" w:val="left"/>
        </w:tabs>
        <w:bidi w:val="0"/>
        <w:spacing w:before="0" w:after="0" w:line="240" w:lineRule="auto"/>
        <w:ind w:left="0" w:right="0" w:firstLine="9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с«</w:t>
      </w:r>
      <w:r>
        <w:rPr>
          <w:b/>
          <w:bCs/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А'ё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»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д/ж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>2020 года ввоз и обращение на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территории Республики Беларусь опасной продукции: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игрушек детских из полимерных материалов с элементами из металла «Самокатов»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FAVORIT,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артикул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4105-OR,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для детей от 3-х лет и старше, изготовитель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«GUANGDONG AUSINI TOYS INDUSTRY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СО., </w: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en-US" w:eastAsia="en-US" w:bidi="en-US"/>
        </w:rPr>
        <w:t>s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LTD»,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Китай.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20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Административная ответственность за неисполнение настоящего предписания предусмотрена статьями 23.1 и 23.67 Кодекса Республики Беларусь об административных правонарушениях.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178" w:lineRule="auto"/>
        <w:ind w:left="200" w:right="0" w:firstLine="5820"/>
        <w:jc w:val="left"/>
      </w:pPr>
      <w:r>
        <mc:AlternateContent>
          <mc:Choice Requires="wps">
            <w:drawing>
              <wp:anchor distT="0" distB="0" distL="88900" distR="88900" simplePos="0" relativeHeight="125829380" behindDoc="0" locked="0" layoutInCell="1" allowOverlap="1">
                <wp:simplePos x="0" y="0"/>
                <wp:positionH relativeFrom="page">
                  <wp:posOffset>5247640</wp:posOffset>
                </wp:positionH>
                <wp:positionV relativeFrom="paragraph">
                  <wp:posOffset>431800</wp:posOffset>
                </wp:positionV>
                <wp:extent cx="1824355" cy="45021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24355" cy="450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О^АуВштТагарицкий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 xml:space="preserve">/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® I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 xml:space="preserve"> р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vertAlign w:val="superscript"/>
                                <w:lang w:val="ru-RU" w:eastAsia="ru-RU" w:bidi="ru-RU"/>
                              </w:rPr>
                              <w:t>асши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Фр°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vertAlign w:val="superscript"/>
                                <w:lang w:val="ru-RU" w:eastAsia="ru-RU" w:bidi="ru-RU"/>
                              </w:rPr>
                              <w:t>вка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13.19999999999999pt;margin-top:34.pt;width:143.65000000000001pt;height:35.450000000000003pt;z-index:-125829373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О^АуВштТагарицкий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F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/ </w:t>
                      </w:r>
                      <w:r>
                        <w:rPr>
                          <w:rFonts w:ascii="Arial" w:eastAsia="Arial" w:hAnsi="Arial" w:cs="Arial"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® I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 xml:space="preserve"> р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vertAlign w:val="superscript"/>
                          <w:lang w:val="ru-RU" w:eastAsia="ru-RU" w:bidi="ru-RU"/>
                        </w:rPr>
                        <w:t>асши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Фр°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vertAlign w:val="superscript"/>
                          <w:lang w:val="ru-RU" w:eastAsia="ru-RU" w:bidi="ru-RU"/>
                        </w:rPr>
                        <w:t>вка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" аРУ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с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 «ух Главный государственный инспектор Республики Беларусь по надзору за соблюдением технических регламен^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Ц^И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3110230</wp:posOffset>
                </wp:positionH>
                <wp:positionV relativeFrom="paragraph">
                  <wp:posOffset>25400</wp:posOffset>
                </wp:positionV>
                <wp:extent cx="267335" cy="201295"/>
                <wp:wrapSquare wrapText="righ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733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м.п.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44.90000000000001pt;margin-top:2.pt;width:21.050000000000001pt;height:15.85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м.п.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vertAlign w:val="subscript"/>
          <w:lang w:val="ru-RU" w:eastAsia="ru-RU" w:bidi="ru-RU"/>
        </w:rPr>
        <w:t>ч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2045" w:left="1471" w:right="745" w:bottom="2455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3958590</wp:posOffset>
              </wp:positionH>
              <wp:positionV relativeFrom="page">
                <wp:posOffset>777240</wp:posOffset>
              </wp:positionV>
              <wp:extent cx="77470" cy="11874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747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ru-RU" w:eastAsia="ru-RU" w:bidi="ru-RU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11.69999999999999pt;margin-top:61.200000000000003pt;width:6.0999999999999996pt;height:9.34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6">
    <w:name w:val="Основной текст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Основной текст (3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3">
    <w:name w:val="Колонтитул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8">
    <w:name w:val="Основной текст (4)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line="254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ind w:firstLine="1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2">
    <w:name w:val="Колонтитул (2)"/>
    <w:basedOn w:val="Normal"/>
    <w:link w:val="CharStyle1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7">
    <w:name w:val="Основной текст (4)"/>
    <w:basedOn w:val="Normal"/>
    <w:link w:val="CharStyle18"/>
    <w:pPr>
      <w:widowControl w:val="0"/>
      <w:shd w:val="clear" w:color="auto" w:fill="FFFFFF"/>
      <w:ind w:left="16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>Отсканированное изображение</dc:title>
  <dc:subject>Отсканированное изображение</dc:subject>
  <dc:creator>NAPS2</dc:creator>
  <cp:keywords/>
</cp:coreProperties>
</file>