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left="4956"/>
        <w:contextualSpacing/>
        <w:jc w:val="both"/>
        <w:rPr>
          <w:rFonts w:eastAsia="Times New Roman,Bold"/>
          <w:bCs/>
          <w:sz w:val="28"/>
          <w:szCs w:val="28"/>
        </w:rPr>
      </w:pPr>
      <w:r w:rsidRPr="00151323">
        <w:rPr>
          <w:rFonts w:eastAsia="Times New Roman,Bold"/>
          <w:bCs/>
          <w:sz w:val="28"/>
          <w:szCs w:val="28"/>
        </w:rPr>
        <w:t xml:space="preserve">Приложение к письму Гомельского областного управления МЧС             </w:t>
      </w:r>
      <w:proofErr w:type="gramStart"/>
      <w:r w:rsidRPr="00151323">
        <w:rPr>
          <w:rFonts w:eastAsia="Times New Roman,Bold"/>
          <w:bCs/>
          <w:sz w:val="28"/>
          <w:szCs w:val="28"/>
        </w:rPr>
        <w:t>от</w:t>
      </w:r>
      <w:proofErr w:type="gramEnd"/>
      <w:r w:rsidRPr="00151323">
        <w:rPr>
          <w:rFonts w:eastAsia="Times New Roman,Bold"/>
          <w:bCs/>
          <w:sz w:val="28"/>
          <w:szCs w:val="28"/>
        </w:rPr>
        <w:t>____________ №____________</w:t>
      </w: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rFonts w:eastAsia="Times New Roman,Bold"/>
          <w:b/>
          <w:bCs/>
          <w:sz w:val="28"/>
          <w:szCs w:val="28"/>
        </w:rPr>
      </w:pP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rFonts w:eastAsia="Times New Roman,Bold"/>
          <w:b/>
          <w:bCs/>
          <w:sz w:val="28"/>
          <w:szCs w:val="28"/>
        </w:rPr>
      </w:pP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rFonts w:eastAsia="Times New Roman,Bold"/>
          <w:bCs/>
          <w:sz w:val="28"/>
          <w:szCs w:val="28"/>
        </w:rPr>
      </w:pPr>
      <w:r w:rsidRPr="00151323">
        <w:rPr>
          <w:rFonts w:eastAsia="Times New Roman,Bold"/>
          <w:bCs/>
          <w:sz w:val="28"/>
          <w:szCs w:val="28"/>
        </w:rPr>
        <w:t>Обеспечение ядерной и радиационной безопасности в Республике Беларусь в контексте реализации первой ядерной энергетической программы.</w:t>
      </w: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contextualSpacing/>
        <w:jc w:val="both"/>
        <w:rPr>
          <w:rFonts w:eastAsia="Times New Roman,Bold"/>
          <w:bCs/>
          <w:sz w:val="28"/>
          <w:szCs w:val="28"/>
        </w:rPr>
      </w:pPr>
    </w:p>
    <w:p w:rsidR="00151323" w:rsidRPr="00151323" w:rsidRDefault="00151323" w:rsidP="00151323">
      <w:pPr>
        <w:pStyle w:val="a6"/>
        <w:keepNext/>
        <w:numPr>
          <w:ilvl w:val="0"/>
          <w:numId w:val="1"/>
        </w:numPr>
        <w:shd w:val="clear" w:color="auto" w:fill="FCFAF7"/>
        <w:spacing w:before="0" w:beforeAutospacing="0" w:after="0" w:afterAutospacing="0"/>
        <w:contextualSpacing/>
        <w:jc w:val="both"/>
        <w:rPr>
          <w:rStyle w:val="a7"/>
          <w:b w:val="0"/>
          <w:sz w:val="28"/>
          <w:szCs w:val="28"/>
        </w:rPr>
      </w:pPr>
      <w:r w:rsidRPr="00151323">
        <w:rPr>
          <w:rStyle w:val="a7"/>
          <w:b w:val="0"/>
          <w:sz w:val="28"/>
          <w:szCs w:val="28"/>
        </w:rPr>
        <w:t>Характеристика Белорусской АЭС.</w:t>
      </w:r>
    </w:p>
    <w:p w:rsidR="00151323" w:rsidRPr="00151323" w:rsidRDefault="00151323" w:rsidP="00151323">
      <w:pPr>
        <w:pStyle w:val="a6"/>
        <w:keepNext/>
        <w:shd w:val="clear" w:color="auto" w:fill="FCFAF7"/>
        <w:spacing w:before="0" w:beforeAutospacing="0" w:after="0" w:afterAutospacing="0"/>
        <w:ind w:left="357"/>
        <w:contextualSpacing/>
        <w:rPr>
          <w:b/>
          <w:sz w:val="28"/>
          <w:szCs w:val="28"/>
        </w:rPr>
      </w:pPr>
    </w:p>
    <w:p w:rsidR="00151323" w:rsidRPr="00151323" w:rsidRDefault="00151323" w:rsidP="00151323">
      <w:pPr>
        <w:pStyle w:val="a6"/>
        <w:keepNext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>Белорусская АЭС будет состоять из двух энергоблоков суммарной мощностью до 2400 (2х1200) МВт. Ввод в эксплуатацию первого энергоблока запланирован в 2019 году, второго -2020 году.</w:t>
      </w:r>
    </w:p>
    <w:p w:rsidR="00151323" w:rsidRPr="00151323" w:rsidRDefault="00151323" w:rsidP="00151323">
      <w:pPr>
        <w:pStyle w:val="a6"/>
        <w:keepNext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 xml:space="preserve">Место ее размещения – </w:t>
      </w:r>
      <w:proofErr w:type="spellStart"/>
      <w:r w:rsidRPr="00151323">
        <w:rPr>
          <w:sz w:val="28"/>
          <w:szCs w:val="28"/>
        </w:rPr>
        <w:t>Островецкая</w:t>
      </w:r>
      <w:proofErr w:type="spellEnd"/>
      <w:r w:rsidRPr="00151323">
        <w:rPr>
          <w:sz w:val="28"/>
          <w:szCs w:val="28"/>
        </w:rPr>
        <w:t xml:space="preserve"> площадка Гродненской области.</w:t>
      </w:r>
    </w:p>
    <w:p w:rsidR="00151323" w:rsidRPr="00151323" w:rsidRDefault="00151323" w:rsidP="00151323">
      <w:pPr>
        <w:pStyle w:val="a6"/>
        <w:keepNext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 xml:space="preserve">Для Белорусской АЭС выбран российский проект «АЭС-2006» с </w:t>
      </w:r>
      <w:proofErr w:type="spellStart"/>
      <w:r w:rsidRPr="00151323">
        <w:rPr>
          <w:sz w:val="28"/>
          <w:szCs w:val="28"/>
        </w:rPr>
        <w:t>водо-водяными</w:t>
      </w:r>
      <w:proofErr w:type="spellEnd"/>
      <w:r w:rsidRPr="00151323">
        <w:rPr>
          <w:sz w:val="28"/>
          <w:szCs w:val="28"/>
        </w:rPr>
        <w:t xml:space="preserve"> реакторами (</w:t>
      </w:r>
      <w:proofErr w:type="spellStart"/>
      <w:r w:rsidRPr="00151323">
        <w:rPr>
          <w:sz w:val="28"/>
          <w:szCs w:val="28"/>
        </w:rPr>
        <w:t>ВВЭР</w:t>
      </w:r>
      <w:proofErr w:type="spellEnd"/>
      <w:r w:rsidRPr="00151323">
        <w:rPr>
          <w:sz w:val="28"/>
          <w:szCs w:val="28"/>
        </w:rPr>
        <w:t xml:space="preserve">) третьего поколения. Поколение 3 – усовершенствованные реакторы повышенной безопасности и надежности. </w:t>
      </w: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>Основные целевые технико-экономические характеристики АЭС-2006: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установленная номинальная мощность энергоблока – 1200 МВ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>э);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число энергоблоков – 2;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срок службы энергоблока – 50 лет;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коэффициент полезного действия (нетто) – 33,9%.</w:t>
      </w: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>Особенностью проекта АЭС-2006 является новая реакторная установка с дополнительными системами безопасности; а именно: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системой пассивного отвода тепла;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системой сброса и очистки среды из оболочки;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двойной защитной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гермооболочкой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>;</w:t>
      </w:r>
    </w:p>
    <w:p w:rsidR="00151323" w:rsidRPr="00151323" w:rsidRDefault="00151323" w:rsidP="00151323">
      <w:pPr>
        <w:shd w:val="clear" w:color="auto" w:fill="FCFAF7"/>
        <w:spacing w:after="0"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ловушкой расплава топлива при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запроектной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аварии.</w:t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>Схема энергоблока и системы безопасности Проект АЭС-2006 отличается повышенными характеристиками безопасности и технико-экономическими показателями и полностью соответствует международным нормам и рекомендациям МАГАТЭ.</w:t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 xml:space="preserve">В проекте применяются самые современные средства и системы безопасности: четыре канала систем безопасности (дублирующие друг друга), устройство локализации расплава, двойная защитная оболочка здания реактора, система удаления водорода, системы пассивного отвода тепла, предусмотрена защита станции от разнообразных внешних воздействий. </w:t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 xml:space="preserve">Высокая степень безопасности Белорусской АЭС обеспечена множеством факторов. Основные из них – это принцип </w:t>
      </w:r>
      <w:proofErr w:type="spellStart"/>
      <w:r w:rsidRPr="00151323">
        <w:rPr>
          <w:sz w:val="28"/>
          <w:szCs w:val="28"/>
        </w:rPr>
        <w:t>самозащищенности</w:t>
      </w:r>
      <w:proofErr w:type="spellEnd"/>
      <w:r w:rsidRPr="00151323">
        <w:rPr>
          <w:sz w:val="28"/>
          <w:szCs w:val="28"/>
        </w:rPr>
        <w:t xml:space="preserve"> реакторной установки, наличие нескольких барьеров безопасности и многократное дублирование каналов безопасности.  Система безопасности АЭС состоит из четырех барьеров на пути распространения ионизирующих излучений и радиоактивных веществ в окружающую среду. Первый – это топливная матрица, предотвращающая выход продуктов деления под оболочку тепловыделяющего элемента. Второй – сама оболочка тепловыделяющего </w:t>
      </w:r>
      <w:r w:rsidRPr="00151323">
        <w:rPr>
          <w:sz w:val="28"/>
          <w:szCs w:val="28"/>
        </w:rPr>
        <w:lastRenderedPageBreak/>
        <w:t>элемента, не дающая продуктам деления попасть в теплоноситель главного циркуляционного контура. Третий - главный циркуляционный контур, препятствующий выходу продуктов деления под защитную герметичную оболочку.  Четвертый – это система защитных герметичных оболочек (</w:t>
      </w:r>
      <w:proofErr w:type="spellStart"/>
      <w:r w:rsidRPr="00151323">
        <w:rPr>
          <w:sz w:val="28"/>
          <w:szCs w:val="28"/>
        </w:rPr>
        <w:t>контайнмент</w:t>
      </w:r>
      <w:proofErr w:type="spellEnd"/>
      <w:r w:rsidRPr="00151323">
        <w:rPr>
          <w:sz w:val="28"/>
          <w:szCs w:val="28"/>
        </w:rPr>
        <w:t>), исключающая выход продуктов деления в окружающую среду.</w:t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51323">
        <w:rPr>
          <w:noProof/>
          <w:color w:val="333333"/>
          <w:sz w:val="28"/>
          <w:szCs w:val="28"/>
        </w:rPr>
        <w:drawing>
          <wp:inline distT="0" distB="0" distL="0" distR="0">
            <wp:extent cx="5495925" cy="4905375"/>
            <wp:effectExtent l="19050" t="0" r="9525" b="0"/>
            <wp:docPr id="1" name="Рисунок 1" descr="SECURI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I~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 w:rsidRPr="00151323">
        <w:rPr>
          <w:sz w:val="28"/>
          <w:szCs w:val="28"/>
        </w:rPr>
        <w:t>Контайнмент</w:t>
      </w:r>
      <w:proofErr w:type="spellEnd"/>
      <w:r w:rsidRPr="00151323">
        <w:rPr>
          <w:sz w:val="28"/>
          <w:szCs w:val="28"/>
        </w:rPr>
        <w:t xml:space="preserve"> выдерживает внутреннее давление в 5 кг/см</w:t>
      </w:r>
      <w:proofErr w:type="gramStart"/>
      <w:r w:rsidRPr="00151323">
        <w:rPr>
          <w:sz w:val="28"/>
          <w:szCs w:val="28"/>
          <w:vertAlign w:val="superscript"/>
        </w:rPr>
        <w:t>2</w:t>
      </w:r>
      <w:proofErr w:type="gramEnd"/>
      <w:r w:rsidRPr="00151323">
        <w:rPr>
          <w:rStyle w:val="apple-converted-space"/>
          <w:sz w:val="28"/>
          <w:szCs w:val="28"/>
        </w:rPr>
        <w:t> </w:t>
      </w:r>
      <w:r w:rsidRPr="00151323">
        <w:rPr>
          <w:sz w:val="28"/>
          <w:szCs w:val="28"/>
        </w:rPr>
        <w:t xml:space="preserve">и внешнее воздействие от ударной волны, создающей давление 30 кПа. Объем </w:t>
      </w:r>
      <w:proofErr w:type="spellStart"/>
      <w:r w:rsidRPr="00151323">
        <w:rPr>
          <w:sz w:val="28"/>
          <w:szCs w:val="28"/>
        </w:rPr>
        <w:t>контайнмента</w:t>
      </w:r>
      <w:proofErr w:type="spellEnd"/>
      <w:r w:rsidRPr="00151323">
        <w:rPr>
          <w:sz w:val="28"/>
          <w:szCs w:val="28"/>
        </w:rPr>
        <w:t xml:space="preserve"> – 75 тыс. м</w:t>
      </w:r>
      <w:r w:rsidRPr="00151323">
        <w:rPr>
          <w:sz w:val="28"/>
          <w:szCs w:val="28"/>
          <w:vertAlign w:val="superscript"/>
        </w:rPr>
        <w:t>3</w:t>
      </w:r>
      <w:r w:rsidRPr="00151323">
        <w:rPr>
          <w:sz w:val="28"/>
          <w:szCs w:val="28"/>
        </w:rPr>
        <w:t>, риск скопления в нем водорода во взрывоопасной концентрации значительно меньше, чем на АЭС «Фукусима-1». В случае аварии для снижения давления пара внутри защитной оболочки установлена «</w:t>
      </w:r>
      <w:proofErr w:type="spellStart"/>
      <w:r w:rsidRPr="00151323">
        <w:rPr>
          <w:sz w:val="28"/>
          <w:szCs w:val="28"/>
        </w:rPr>
        <w:t>спринклерная</w:t>
      </w:r>
      <w:proofErr w:type="spellEnd"/>
      <w:r w:rsidRPr="00151323">
        <w:rPr>
          <w:sz w:val="28"/>
          <w:szCs w:val="28"/>
        </w:rPr>
        <w:t xml:space="preserve"> система», которая из-под купола блока разбрызгивает раствор бора и других веществ, препятствующих распространению радиоактивности. </w:t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1323">
        <w:rPr>
          <w:sz w:val="28"/>
          <w:szCs w:val="28"/>
        </w:rPr>
        <w:t xml:space="preserve">По такому же проекту в Российской Федерации строятся Балтийская АЭС, </w:t>
      </w:r>
      <w:proofErr w:type="spellStart"/>
      <w:r w:rsidRPr="00151323">
        <w:rPr>
          <w:sz w:val="28"/>
          <w:szCs w:val="28"/>
        </w:rPr>
        <w:t>Нововоронежская</w:t>
      </w:r>
      <w:proofErr w:type="spellEnd"/>
      <w:r w:rsidRPr="00151323">
        <w:rPr>
          <w:sz w:val="28"/>
          <w:szCs w:val="28"/>
        </w:rPr>
        <w:t xml:space="preserve"> АЭС-2 и Ленинградская АЭС-2. Подобная станция уже эксплуатируется в Китае – первая очередь </w:t>
      </w:r>
      <w:proofErr w:type="spellStart"/>
      <w:r w:rsidRPr="00151323">
        <w:rPr>
          <w:sz w:val="28"/>
          <w:szCs w:val="28"/>
        </w:rPr>
        <w:t>Тяньваньской</w:t>
      </w:r>
      <w:proofErr w:type="spellEnd"/>
      <w:r w:rsidRPr="00151323">
        <w:rPr>
          <w:sz w:val="28"/>
          <w:szCs w:val="28"/>
        </w:rPr>
        <w:t xml:space="preserve"> АЭС, которая признана экспертами МАГАТЭ одной из лучших в мире по параметрам безопасности.</w:t>
      </w:r>
    </w:p>
    <w:p w:rsidR="00151323" w:rsidRPr="00151323" w:rsidRDefault="00151323" w:rsidP="00151323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lastRenderedPageBreak/>
        <w:t>2. О лицензировании работ, связанных со строительством Белорусской АЭС.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В Республике Беларусь основным документом, определяющим порядок лицензирования деятельности, связанной с использованием атомной энергии, является Положение о лицензировании отдельных видов деятельности, утвержденное Указом Президента Республики Беларусь от 1 сентября 2010 г. №450. Лицензированию подлежат все этапы жизненного цикла ядерной установки, лицензирующим органом является Министерство по чрезвычайным ситуациям. Соответствующие решения о выдаче лицензий принимает коллегия МЧС.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31 мая 2012 г. коллегия МЧС приняла решение о выдаче эксплуатирующей организации (в настоящее время – Республиканское унитарное предприятие «Белорусская атомная электростанция») лицензии в области использования атомной энергии в части размещения ядерных установок (энергоблоков №1 и №2 Белорусской АЭС). 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13 сентября 2013 г. коллегия МЧС приняла решение о внесении изменений и дополнений в данную лицензию, предоставив право приступить к первому этапу сооружения энергоблока №1 Белорусской АЭС – возведению оснований и фундаментов зданий и сооружений.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14 февраля 2014 г. эксплуатирующая организация получила лицензию на право возведения оснований и фундаментов зданий и сооружений энергоблока №2 Белорусской АЭС.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22 апреля 2014 г. коллегией МЧС принято решение о внесении дополнений в лицензию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РУП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«Белорусская АЭС» в части основного этапа сооружения энергоблока №1 Белорусской АЭС, а 30 декабря 2014 г. – основного этапа сооружения энергоблока №2 Белорусской АЭС.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На каждом этапе лицензирования Госатомнадзором была организована экспертиза документов, обосновывающих ядерную и радиационную безопасность Белорусской АЭС (Предварительного отчета по обоснованию безопасности, Вероятностного анализа безопасности первого уровня и др.). В рамках этой работы проведена проверка полноты обоснований безопасности ядерных установок и соответствия обосновывающих документов требованиям законодательства Республики Беларусь и Российской Федерации в области использования атомной энергии, источников ионизирующего излучения, а также международным рекомендациям. По результатам проведенных рассмотрений Госатомнадзором сформированы требования к эксплуатирующей организации, которые должны быть выполнены в рамках действия лицензии.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В октябре 2017 г. в Госатомнадзор поступил комплект документов на получение лицензии на эксплуатацию энергоблока №1 Белорусской АЭС. Согласно действующему законодательству экспертиза безопасности займет до 1 года.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3. Надзор за сооружением Белорусской АЭС.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(надзор) за обеспечением безопасности при сооружении Белорусской АЭС организуется и осуществляется в особом порядке, который введен в 2015 году Указом Президента Республики Беларусь от 16.02.2015 №62 «Об обеспечении безопасности при сооружении Белорусской атомной электростанции». Главной его особенностью является возможность всем надзорным органам осуществлять постоянный контроль (надзор) в своей сфере с применением санкций и иных мер воздействия. Порядок его организации и осуществления определен отдельным Положением, которое утверждено постановлением Правительства Республики Беларусь от 25 февраля 2015 года №133. Общую координацию надзора за сооружением Белорусской АЭС осуществляет МЧС 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через Рабочую группу для координации надзора за строительством Белорусской АЭС под руководством первого заместителя Министра по чрезвычайным ситуациям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Республики Беларусь, которая сформирована из представителей всех контролирующих (надзорных) органов. Полномочия Рабочей группы установлены постановлением Правительства о ее создании от 30.12.2011 №1791, а также Положением об организации и осуществлении контроля (надзора) за обеспечением безопасности при сооружении и вводе в эксплуатацию Белорусской атомной электростанции (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от 25 февраля 2015 года №133).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23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2 вида проверок – комплексные и в режиме постоянного контроля (надзора). </w:t>
      </w:r>
      <w:r w:rsidRPr="0015132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Комплексные </w:t>
      </w:r>
      <w:r w:rsidRPr="00151323">
        <w:rPr>
          <w:rFonts w:ascii="Times New Roman" w:hAnsi="Times New Roman" w:cs="Times New Roman"/>
          <w:sz w:val="28"/>
          <w:szCs w:val="28"/>
        </w:rPr>
        <w:t xml:space="preserve">осуществляются надзорными органами по решению Рабочей группы для координации надзора за строительством Белорусской АЭС (каждым – в соответствии со своей компетенцией) на основании программы проверки. Их особенность заключается в том, что в них одновременно участвуют сразу несколько надзорных органов, что позволяет получить одномоментную полную картину обеспечения безопасности Белорусской АЭС по инспектируемым вопросам с учетом многих аспектов, связанных между собой и влияющих друг на друга. </w:t>
      </w:r>
      <w:r w:rsidRPr="0015132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Проверки в режиме постоянного контроля (надзора) </w:t>
      </w:r>
      <w:r w:rsidRPr="00151323">
        <w:rPr>
          <w:rFonts w:ascii="Times New Roman" w:hAnsi="Times New Roman" w:cs="Times New Roman"/>
          <w:sz w:val="28"/>
          <w:szCs w:val="28"/>
        </w:rPr>
        <w:t>осуществляются надзорными органами с целью оперативной оценки состояния безопасности в целях предупреждения и пресечения нарушений и устранения их последствий с периодичностью, устанавливаемой надзорными органами. Эти проверки проводятся в рамках компетенции надзорных органов, которые самостоятельно устанавливают требования к их проведению.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23">
        <w:rPr>
          <w:rFonts w:ascii="Times New Roman" w:hAnsi="Times New Roman" w:cs="Times New Roman"/>
          <w:sz w:val="28"/>
          <w:szCs w:val="28"/>
        </w:rPr>
        <w:t xml:space="preserve">Госатомнадзор осуществляет проверки в режиме постоянного контроля (надзора) на площадке строительства Белорусской АЭС и в организациях (на предприятиях), выполняющих работы и (или) оказывающих услуги при сооружении и вводе в эксплуатацию станции, в том числе проверки качества изготовления в Республике Беларусь и других государствах оборудования и трубопроводов для Белорусской АЭС (контроль за проведением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«Белорусская АЭС» приёмочных инспекций, приёмо-сдаточных испытаний и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др.). С целью контроля обеспечения ядерной и радиационной безопасности при сооружении Белорусской АЭС на площадке строительства в постоянном режиме работает специальный отдел Госатомнадзора (7 инспекторов), а также 5 инспекторов в области строительного и 2 – в области промышленного надзора.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соблюдением проектно-сметной документации при выполнении строительно-монтажных работ.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В июле 2016 года на площадке Белорусской АЭС произошел инцидент. При подготовке к монтажу корпуса реактора №1 (его перемещении с места хранения к точке подъема), произошло соскальзывание корпуса реактора со строп и его удар о железобетонную плиту площадки хранения. Данное событие расследовано комиссиями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«Белорусская АЭС» (Заказчика) и АО «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НИАЭП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» (Генерального подрядчика). Госатомнадзором с привлечением экспертной организации проведена оценка его влияния на безопасность, в том числе – в долгосрочной перспективе, и принято решение о запрете монтажа корпуса реактора на площадке Белорусской АЭС. Окончательное решение по корпусу реактора №1 (о его замене) принято Межведомственной комиссией по координации плана основных организационных мероприятий по сооружению атомной электростанции в Республике Беларусь и 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его выполнением. Таким образом, исключено какое-либо потенциальное влияние инцидента с корпусом реактора №1 на безопасность в будущем. Ввиду отсутствия на площадке сооружения Белорусской АЭС ядерного топлива и материалов радиологической угрозы от нештатной ситуации не возникло.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Для предупреждения подобных инцидентов приняты следующие меры: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генподрядчик разработал и представил в Госатомнадзор план компенсирующих мероприятий по усилению 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работами, выполняемыми субподрядными организациями;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по предписанию Госатомнадзора АО «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НИАЭП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>» провел внеочередную проверку знаний административного персонала, ответственного за контроль работ, выполняемых субподрядными организациями;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субподрядной организации ЗАО «СЕЗАМ», выполнявшей работы по перемещению корпуса реактора, было отказано в выдаче лицензии на право проведения работ с оборудованием 1-го класса безопасности и работ с особо тяжелыми грузами. Разработан, представлен в Госатомнадзор план компенсирующих мероприятий по усилению ответственности должностных лиц, отвечающих за порядок проведения строительно-монтажных работ;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Госатомнадзор запланировал меры по ужесточению системы регулирующих требований в отношении программ обеспечения качества и их исполнения лицензиатами, а также руководящих документов по осуществлению надзора за их исполнением, и приступил к их реализации. 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5. Надзор за изготовлением и приемкой оборудования для Белорусской АЭС.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С 2014 г. осуществляется изготовление и поставка оборудования для Белорусской АЭС. В этой связи Госатомнадзором продолжено осуществление контроля (надзора) за изготовлением оборудования и иных элементов для Белорусской АЭС на предприятиях Республики Беларусь, Российской </w:t>
      </w:r>
      <w:r w:rsidRPr="0015132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иных государств на основании соответствующей Инструкции, утвержденной приказом Госатомнадзора от 25 апреля 2015 г. №15. В ходе проверок контролировалось выполнение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«Белорусская АЭС» и Генподрядчиком своих функций по контролю изготовления предприятиями оборудования и иных элементов. В 2017 году сотрудниками Госатомнадзора осуществлено 25 проверок на предприятиях-изготовителях (для сравнения: в 2014 г. их было 2, в 2015 г. – 14, в 2016 - 31).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надзорных мероприятий Госатомнадзор опирается на Инструкцию о порядке проведения контроля (надзора) за изготовлением, монтажом, наладкой оборудования для объектов использования атомной энергии (утверждена приказом Госатомнадзора от 25.04.2015 №15), а в ходе проверок использует системную консультативную поддержку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в лице высококвалифицированных российских специалистов из Федерального государственного унитарного предприятия </w:t>
      </w:r>
      <w:proofErr w:type="gramStart"/>
      <w:r w:rsidRPr="001513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«Безопасность».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6. О </w:t>
      </w:r>
      <w:proofErr w:type="spellStart"/>
      <w:proofErr w:type="gramStart"/>
      <w:r w:rsidRPr="00151323">
        <w:rPr>
          <w:rFonts w:ascii="Times New Roman" w:hAnsi="Times New Roman" w:cs="Times New Roman"/>
          <w:sz w:val="28"/>
          <w:szCs w:val="28"/>
        </w:rPr>
        <w:t>стресс-тестах</w:t>
      </w:r>
      <w:proofErr w:type="spellEnd"/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Белорусской АЭС.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В рамках добровольно принятых Республикой Беларусь обязательств о проведении целевой переоценки безопасности (</w:t>
      </w:r>
      <w:proofErr w:type="spellStart"/>
      <w:proofErr w:type="gramStart"/>
      <w:r w:rsidRPr="00151323">
        <w:rPr>
          <w:rFonts w:ascii="Times New Roman" w:hAnsi="Times New Roman" w:cs="Times New Roman"/>
          <w:sz w:val="28"/>
          <w:szCs w:val="28"/>
        </w:rPr>
        <w:t>стресс-тестах</w:t>
      </w:r>
      <w:proofErr w:type="spellEnd"/>
      <w:proofErr w:type="gramEnd"/>
      <w:r w:rsidRPr="00151323">
        <w:rPr>
          <w:rFonts w:ascii="Times New Roman" w:hAnsi="Times New Roman" w:cs="Times New Roman"/>
          <w:sz w:val="28"/>
          <w:szCs w:val="28"/>
        </w:rPr>
        <w:t>) АЭС, белорусская сторона продолжает совместно с Европейской комиссией реализацию мероприятий в рамках партнерской проверки соответствующего Национального доклада Республики Беларусь, который был подготовлен в сентябре 2017 г. и передан в Европейскую комиссию в октябре 2017 г.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Основные выводы Национального доклада: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по оценкам регулирующего органа и межведомственной рабочей группы, Белорусская АЭС устойчива к возникновению исходных событий, произошедших на АЭС «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>»;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системы безопасности Белорусской АЭС разработаны с учетом всесторонне рассмотренных внешних событий; 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здания, сооружения и оборудование Белорусской АЭС спроектированы в соответствии с действующей нормативной базой.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В марте 2018 г. состоялся визит группы экспертов (</w:t>
      </w:r>
      <w:proofErr w:type="spellStart"/>
      <w:r w:rsidRPr="00151323">
        <w:rPr>
          <w:rFonts w:ascii="Times New Roman" w:hAnsi="Times New Roman" w:cs="Times New Roman"/>
          <w:sz w:val="28"/>
          <w:szCs w:val="28"/>
          <w:lang w:val="en-US"/>
        </w:rPr>
        <w:t>PRT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) в Республику Беларусь, в июне 2018 г. – визит Совета по партнерской проверке с представлением окончательной версии отчета о партнерской проверке.  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9 августа 2018 года в Госатомнадзоре состоялось представление итогов партнерской проверки результатов </w:t>
      </w:r>
      <w:proofErr w:type="spellStart"/>
      <w:proofErr w:type="gramStart"/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>стресс-тестов</w:t>
      </w:r>
      <w:proofErr w:type="spellEnd"/>
      <w:proofErr w:type="gramEnd"/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>БелАЭС</w:t>
      </w:r>
      <w:proofErr w:type="spellEnd"/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экспертному сообществу, общественным организациям и СМИ с участием руководителя уполномоченной на проведение партнерской проверки группы европейских экспертов Марка </w:t>
      </w:r>
      <w:proofErr w:type="spellStart"/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>Фоя</w:t>
      </w:r>
      <w:proofErr w:type="spellEnd"/>
      <w:r w:rsidRPr="001513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(представителя регулирующего органа Великобритании). В мероприятии также приняли участие представители государственного предприятия «Белорусская АЭС», российских разработчиков проекта АЭС-2006, организаций технической поддержки белорусского регулирующего органа в области ядерной и радиационной безопасности, белорусских органов государственного управления.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группы экспертов Марк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Фой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подробно рассказал о том, как была организована и проходила партнерская проверка, отметил, что Национальный доклад Беларуси подготовлен в соответствии с требованиями ЕС к проведению </w:t>
      </w:r>
      <w:proofErr w:type="spellStart"/>
      <w:proofErr w:type="gramStart"/>
      <w:r w:rsidRPr="00151323">
        <w:rPr>
          <w:rFonts w:ascii="Times New Roman" w:hAnsi="Times New Roman" w:cs="Times New Roman"/>
          <w:sz w:val="28"/>
          <w:szCs w:val="28"/>
        </w:rPr>
        <w:t>стресс-тестов</w:t>
      </w:r>
      <w:proofErr w:type="spellEnd"/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23">
        <w:rPr>
          <w:rFonts w:ascii="Times New Roman" w:hAnsi="Times New Roman" w:cs="Times New Roman"/>
          <w:sz w:val="28"/>
          <w:szCs w:val="28"/>
        </w:rPr>
        <w:t>В числе хороших практик выделено наличие в проекте Белорусской АЭС пассивных систем обеспечения безопасности, способных работать в автономном режиме в условиях полного обесточивания станции, ловушки расплава, организацию глубокоэшелонированной защиты Белорусской АЭС и ее возможности при управлении тяжелыми авариями, полномасштабный симулятор, позволяющий моделировать различные аварийные ситуации и готовить персонал станции к действиям при их возникновении, а также аварийно-спасательную часть на площадке</w:t>
      </w:r>
      <w:proofErr w:type="gramEnd"/>
      <w:r w:rsidRPr="00151323">
        <w:rPr>
          <w:rFonts w:ascii="Times New Roman" w:hAnsi="Times New Roman" w:cs="Times New Roman"/>
          <w:sz w:val="28"/>
          <w:szCs w:val="28"/>
        </w:rPr>
        <w:t xml:space="preserve"> Белорусской АЭС, ее оборудование и готовность к реагированию.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 xml:space="preserve">Среди рекомендаций европейских экспертов по увеличению существующих запасов безопасности – проведение дополнительной аналитической работы по вопросам сейсмики, подтверждению запасов </w:t>
      </w:r>
      <w:proofErr w:type="spellStart"/>
      <w:r w:rsidRPr="00151323">
        <w:rPr>
          <w:rFonts w:ascii="Times New Roman" w:hAnsi="Times New Roman" w:cs="Times New Roman"/>
          <w:sz w:val="28"/>
          <w:szCs w:val="28"/>
        </w:rPr>
        <w:t>сейсмоустойчивости</w:t>
      </w:r>
      <w:proofErr w:type="spellEnd"/>
      <w:r w:rsidRPr="00151323">
        <w:rPr>
          <w:rFonts w:ascii="Times New Roman" w:hAnsi="Times New Roman" w:cs="Times New Roman"/>
          <w:sz w:val="28"/>
          <w:szCs w:val="28"/>
        </w:rPr>
        <w:t xml:space="preserve"> структур, компонентов и оборудования Белорусской АЭС, установка дополнительного оборудования для обеспечения работы систем безопасности, дополнительная разработка руководств и регламентов для Белорусской АЭС в части реагирования на тяжелые аварии. 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В ближайшее время будут определены необходимые улучшения безопасности в ответ на рекомендации, сделанные в Отчете о партнерской проверке. Проект соответствующего Национального плана мероприятий будет сформирован к концу сентября 2018 года.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513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Справочно</w:t>
      </w:r>
      <w:proofErr w:type="spell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proofErr w:type="gram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стресс-тесты</w:t>
      </w:r>
      <w:proofErr w:type="spellEnd"/>
      <w:proofErr w:type="gram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задумывались и проводились как разовая внеплановая целевая переоценка безопасности АЭС после аварии 2011 года в Японии (на АЭС «</w:t>
      </w:r>
      <w:proofErr w:type="spell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Фукусима-Дайичи</w:t>
      </w:r>
      <w:proofErr w:type="spell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»), на предмет устойчивости станций к неблагоприятным природным воздействиям различного характера и их сочетанию. Беларусь приняла на себя добровольные обязательства провести </w:t>
      </w:r>
      <w:proofErr w:type="spellStart"/>
      <w:proofErr w:type="gram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стресс-тесты</w:t>
      </w:r>
      <w:proofErr w:type="spellEnd"/>
      <w:proofErr w:type="gram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 европейской процедуре.  Партнерская проверка результатов </w:t>
      </w:r>
      <w:proofErr w:type="spellStart"/>
      <w:proofErr w:type="gram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стресс-тестов</w:t>
      </w:r>
      <w:proofErr w:type="spellEnd"/>
      <w:proofErr w:type="gram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Белорусской АЭС проведена в период с октября 2017 по июнь 2018 года. Ей предшествовала  подготовка белорусского Национального доклада о </w:t>
      </w:r>
      <w:proofErr w:type="spellStart"/>
      <w:proofErr w:type="gram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стресс-тестах</w:t>
      </w:r>
      <w:proofErr w:type="spellEnd"/>
      <w:proofErr w:type="gram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Белорусской АЭС на основании проведенной государственным предприятием «Белорусская АЭС» самооценки. Отчет о партнерской проверке согласован 2 июля 2018 года на заседании Европейской группы регулирующих органов ядерной безопасности</w:t>
      </w:r>
      <w:r w:rsidRPr="0015132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ENSREG</w:t>
      </w:r>
      <w:proofErr w:type="spell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. Окончательная версия Отчета</w:t>
      </w:r>
      <w:r w:rsidRPr="0015132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hyperlink r:id="rId6" w:history="1">
        <w:r w:rsidRPr="00151323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опубликована на интернет-сайте</w:t>
        </w:r>
        <w:r w:rsidRPr="00151323">
          <w:rPr>
            <w:rStyle w:val="apple-converted-space"/>
            <w:rFonts w:ascii="Times New Roman" w:hAnsi="Times New Roman" w:cs="Times New Roman"/>
            <w:iCs/>
            <w:sz w:val="28"/>
            <w:szCs w:val="28"/>
          </w:rPr>
          <w:t> </w:t>
        </w:r>
        <w:proofErr w:type="spellStart"/>
        <w:r w:rsidRPr="00151323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ENSREG</w:t>
        </w:r>
        <w:proofErr w:type="spellEnd"/>
      </w:hyperlink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, наряду с белорусским Национальным докладом, совместным пресс-релизом Госатомнадзора и</w:t>
      </w:r>
      <w:r w:rsidRPr="0015132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ENSREG</w:t>
      </w:r>
      <w:proofErr w:type="spellEnd"/>
      <w:r w:rsidRPr="00151323">
        <w:rPr>
          <w:rStyle w:val="a8"/>
          <w:rFonts w:ascii="Times New Roman" w:hAnsi="Times New Roman" w:cs="Times New Roman"/>
          <w:i w:val="0"/>
          <w:sz w:val="28"/>
          <w:szCs w:val="28"/>
        </w:rPr>
        <w:t>, другими документами.</w:t>
      </w: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323" w:rsidRPr="00151323" w:rsidRDefault="00151323" w:rsidP="00151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323" w:rsidRPr="00151323" w:rsidRDefault="00151323" w:rsidP="00151323">
      <w:pPr>
        <w:pStyle w:val="a6"/>
        <w:shd w:val="clear" w:color="auto" w:fill="FCFAF7"/>
        <w:spacing w:before="0" w:beforeAutospacing="0" w:after="0" w:afterAutospacing="0"/>
        <w:ind w:firstLine="567"/>
        <w:contextualSpacing/>
        <w:rPr>
          <w:rFonts w:eastAsia="Times New Roman,Bold"/>
          <w:sz w:val="28"/>
          <w:szCs w:val="28"/>
        </w:rPr>
      </w:pPr>
      <w:r w:rsidRPr="00151323">
        <w:rPr>
          <w:sz w:val="28"/>
          <w:szCs w:val="28"/>
        </w:rPr>
        <w:t xml:space="preserve">7. </w:t>
      </w:r>
      <w:r w:rsidRPr="00151323">
        <w:rPr>
          <w:rFonts w:eastAsia="Times New Roman,Bold"/>
          <w:sz w:val="28"/>
          <w:szCs w:val="28"/>
        </w:rPr>
        <w:t>Мониторинг и оценка радиационного воздействия на окружающую среду.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 целях своевременного выявления изменений радиационной обстановки, оценки и прогнозирования возможных последствий радиационного воздействия на здоровье населения и окружающую среду, а также (при необходимости) оперативного принятия необходимых мер по предотвращению или снижению радиационного воздействия, в 2016 году Научно-исследовательское учреждение «Институт прикладных физических проблем им. 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А.Н.Севченко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» Белорусского государственного университета по заказу Министерства природных ресурсов и охраны окружающей среды Республики</w:t>
      </w:r>
      <w:proofErr w:type="gram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Беларусь завершило создание Автоматизированной системы контроля радиационной обстановки (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АСКРО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) в районе размещения Белорусской АЭС.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АСКРО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предназначена</w:t>
      </w:r>
      <w:proofErr w:type="gram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для осуществления радиационного контроля в режиме реального времени. Система состоит из десяти автоматических пунктов измерений (АПИ), три из которых расположены в зоне наблюдения Белорусской АЭС (для Белорусской АЭС радиус зоны наблюдения составляет 12,9 км), семь – за зоной наблюдения. АПИ оснащены датчиками измерения мощности дозы (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МД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гамма-излучения, датчиками измерения метеорологических параметров и спектрометрическими датчиками, позволяющими измерять спектр гамма-излучения с последующей идентификацией 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радионуклидного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состава. Информация об уровнях 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МД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гамма-излучения и метеорологических параметрах каждые 10 минут передается в центр реагирования на чрезвычайные ситуации 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ГУ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«Республиканский центр по гидрометеорологии, контролю радиоактивного загрязнения и мониторингу окружающей среды» (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Гидромет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). Кроме того, каждые 10 минут в 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Гидромет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передается информация об уровнях </w:t>
      </w:r>
      <w:proofErr w:type="spell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МД</w:t>
      </w:r>
      <w:proofErr w:type="spell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гамма-излучения от 4 автоматизированных систем радиационного контроля, расположенных в зонах влияния АЭС сопредельных государств (Чернобыльская, Игналинская, Ровенская и Смоленская АЭС).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местах размещения аппаратуры АПИ предусмотрен монтаж информационных табло, которые будут отображать текущую величину радиационного фона в локальной точке. В </w:t>
      </w:r>
      <w:proofErr w:type="gramStart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г</w:t>
      </w:r>
      <w:proofErr w:type="gramEnd"/>
      <w:r w:rsidRPr="00151323">
        <w:rPr>
          <w:rFonts w:ascii="Times New Roman" w:eastAsia="Times New Roman,Bold" w:hAnsi="Times New Roman" w:cs="Times New Roman"/>
          <w:bCs/>
          <w:sz w:val="28"/>
          <w:szCs w:val="28"/>
        </w:rPr>
        <w:t>. Островец предусмотрено размещение крупногабаритного табло с теми же функциями.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Bold" w:hAnsi="Times New Roman" w:cs="Times New Roman"/>
          <w:bCs/>
          <w:iCs/>
          <w:sz w:val="28"/>
          <w:szCs w:val="28"/>
        </w:rPr>
        <w:t>8. О системе аварийной готовности и реагирования.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В Республике Беларусь система реагирования на ядерные и радиационные аварии интегрирована в национальную систему реагирования на чрезвычайные ситуации. Основные требования к этой системе определены в Законе Республики Беларусь «О защите населения и территорий от чрезвычайных ситуаций природного и техногенного характера».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Разработан, утвержден и проходит регулярные корректировки План защиты населения и территорий Республики Беларусь от чрезвычайных ситуаций природного и техногенного характера, одним из разделов которого является План защиты от радиационных аварий, содержащий: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lastRenderedPageBreak/>
        <w:t>прогноз возможных аварий с учетом вероятных причин, типов и сценариев их развития, прогнозируемой радиационной обстановки при авариях разного типа;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критерии для принятия решений о проведении защитных мероприятий;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мероприятия по защите населения и окружающей среды и другие разделы.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На основании республиканского Плана разрабатываются разделы территориальных и отраслевых планов, детализирующие мероприятия республиканского Плана.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В июне 2016 года Правительством утверждена Концепция создания системы ситуационных кризисных центров в Республике Беларусь (постановление Совета Министров Республики Беларусь от 21.06.2016 №479) и определены практические мероприятия по ее созданию. Целью этой работы является «формирование взаимодействующих ситуационных кризисных центров, обеспечивающих принятие эффективных, надежных и своевременных мер, направленных на предупреждение и ликвидацию последствий ядерных или радиационных аварий на всех этапах функционирования Белорусской АЭС». В систему ситуационных кризисных центров включены кризисные центры Белорусской АЭС, министерств Республики Беларусь, а также экспертный научно-технический центр Национальной академии наук Беларуси.</w:t>
      </w:r>
    </w:p>
    <w:p w:rsidR="00151323" w:rsidRPr="00151323" w:rsidRDefault="00151323" w:rsidP="001513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151323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В 2018 году принято </w:t>
      </w:r>
      <w:r w:rsidRPr="00151323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22.03.2018 № 211 «Об утверждении плана защитных мероприятий при радиационной аварии на Белорусской атомной электростанции (внешнего аварийного плана)», в соответствии с ним проведена доработка областного и районных планов защиты населения и территорий от чрезвычайных ситуаций природного и техногенного характера.</w:t>
      </w:r>
    </w:p>
    <w:p w:rsidR="001417D2" w:rsidRPr="00151323" w:rsidRDefault="001417D2" w:rsidP="00151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17D2" w:rsidRPr="00151323" w:rsidSect="00192C9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D5" w:rsidRDefault="001417D2" w:rsidP="00192C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D5" w:rsidRDefault="001417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D5" w:rsidRDefault="001417D2" w:rsidP="00192C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323">
      <w:rPr>
        <w:rStyle w:val="a5"/>
        <w:noProof/>
      </w:rPr>
      <w:t>2</w:t>
    </w:r>
    <w:r>
      <w:rPr>
        <w:rStyle w:val="a5"/>
      </w:rPr>
      <w:fldChar w:fldCharType="end"/>
    </w:r>
  </w:p>
  <w:p w:rsidR="00C94DD5" w:rsidRDefault="001417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0959"/>
    <w:multiLevelType w:val="hybridMultilevel"/>
    <w:tmpl w:val="B6E8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323"/>
    <w:rsid w:val="001417D2"/>
    <w:rsid w:val="0015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13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1323"/>
  </w:style>
  <w:style w:type="paragraph" w:styleId="a6">
    <w:name w:val="Normal (Web)"/>
    <w:basedOn w:val="a"/>
    <w:rsid w:val="0015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51323"/>
    <w:rPr>
      <w:b/>
      <w:bCs/>
    </w:rPr>
  </w:style>
  <w:style w:type="character" w:styleId="a8">
    <w:name w:val="Emphasis"/>
    <w:basedOn w:val="a0"/>
    <w:qFormat/>
    <w:rsid w:val="00151323"/>
    <w:rPr>
      <w:i/>
      <w:iCs/>
    </w:rPr>
  </w:style>
  <w:style w:type="character" w:customStyle="1" w:styleId="apple-converted-space">
    <w:name w:val="apple-converted-space"/>
    <w:basedOn w:val="a0"/>
    <w:rsid w:val="00151323"/>
  </w:style>
  <w:style w:type="paragraph" w:customStyle="1" w:styleId="1">
    <w:name w:val=" Знак Знак1 Знак"/>
    <w:basedOn w:val="a"/>
    <w:rsid w:val="00151323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9">
    <w:name w:val="Balloon Text"/>
    <w:basedOn w:val="a"/>
    <w:link w:val="aa"/>
    <w:uiPriority w:val="99"/>
    <w:semiHidden/>
    <w:unhideWhenUsed/>
    <w:rsid w:val="001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reg.eu/EU-Stress-Tests/Country-Specific-Reports/EU-Neighbouring-Countries/Belar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3159</Words>
  <Characters>18012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2018-09-03T13:18:00Z</dcterms:created>
  <dcterms:modified xsi:type="dcterms:W3CDTF">2018-09-03T13:21:00Z</dcterms:modified>
</cp:coreProperties>
</file>